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idefault"/>
        <w:jc w:val="both"/>
        <w:rPr>
          <w:rFonts w:ascii="Arial" w:hAnsi="Arial" w:eastAsia="Times Roman" w:cs="Arial"/>
          <w:sz w:val="23"/>
          <w:szCs w:val="23"/>
        </w:rPr>
      </w:pPr>
      <w:r>
        <w:rPr>
          <w:rFonts w:cs="Arial" w:ascii="Arial" w:hAnsi="Arial"/>
          <w:sz w:val="23"/>
          <w:szCs w:val="23"/>
        </w:rPr>
        <w:t xml:space="preserve">Gentile dottore/dottoressa </w:t>
      </w:r>
      <w:r>
        <w:rPr>
          <w:rFonts w:cs="Arial" w:ascii="Arial" w:hAnsi="Arial"/>
          <w:sz w:val="23"/>
          <w:szCs w:val="23"/>
          <w:highlight w:val="yellow"/>
        </w:rPr>
        <w:t>[•]</w:t>
      </w:r>
      <w:r>
        <w:rPr>
          <w:rFonts w:cs="Arial" w:ascii="Arial" w:hAnsi="Arial"/>
          <w:sz w:val="23"/>
          <w:szCs w:val="23"/>
        </w:rPr>
        <w:t>,</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in merito alla grave emergenza sanitaria dichiarata dalla OMS e al conseguente stato d’emergenza nazionale che impone le attuali misure estreme per limitare la diffusione della malattia COVID-19, ritengo che l’unica soluzione efficace sarebbe quella prevista dal piano vaccinale ed esplicitata dai decreti legge 44/2021 e 52/2021, i quali dispongono la necessità di sottoporsi a vaccinazione per la prevenzione dell’infezione da virus SARS-Cov-2 e l’esibizione della certificazione verde COVID-19, al fine di godere dei diritti garantiti dalla Costituzione.</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Come noto, non solo nessuno dei prodotti sperimentali anti-COVID-19 possiede tale caratteristica preventiva</w:t>
      </w:r>
      <w:r>
        <w:rPr>
          <w:rStyle w:val="Richiamoallanotaapidipagina"/>
          <w:rFonts w:cs="Arial" w:ascii="Arial" w:hAnsi="Arial"/>
          <w:sz w:val="23"/>
          <w:szCs w:val="23"/>
        </w:rPr>
        <w:footnoteReference w:id="2"/>
      </w:r>
      <w:r>
        <w:rPr>
          <w:rFonts w:cs="Arial" w:ascii="Arial" w:hAnsi="Arial"/>
          <w:sz w:val="23"/>
          <w:szCs w:val="23"/>
        </w:rPr>
        <w:t>, ma dalla documentazione pubblicata sul sito internet della European Medicines Agency (cd. EMA), emerge quanto segue:</w:t>
      </w:r>
    </w:p>
    <w:p>
      <w:pPr>
        <w:pStyle w:val="Didefault"/>
        <w:numPr>
          <w:ilvl w:val="0"/>
          <w:numId w:val="1"/>
        </w:numPr>
        <w:jc w:val="both"/>
        <w:rPr>
          <w:rFonts w:ascii="Arial" w:hAnsi="Arial" w:eastAsia="Times Roman" w:cs="Arial"/>
          <w:b/>
          <w:b/>
          <w:bCs/>
          <w:sz w:val="23"/>
          <w:szCs w:val="23"/>
        </w:rPr>
      </w:pPr>
      <w:r>
        <w:rPr>
          <w:rFonts w:cs="Arial" w:ascii="Arial" w:hAnsi="Arial"/>
          <w:b/>
          <w:bCs/>
          <w:sz w:val="23"/>
          <w:szCs w:val="23"/>
        </w:rPr>
        <w:t>non sono stati effettuati studi sulle possibili interazioni con altri farmaci</w:t>
      </w:r>
      <w:r>
        <w:rPr>
          <w:rFonts w:cs="Arial" w:ascii="Arial" w:hAnsi="Arial"/>
          <w:sz w:val="23"/>
          <w:szCs w:val="23"/>
        </w:rPr>
        <w:t>;</w:t>
      </w:r>
    </w:p>
    <w:p>
      <w:pPr>
        <w:pStyle w:val="Didefault"/>
        <w:numPr>
          <w:ilvl w:val="0"/>
          <w:numId w:val="1"/>
        </w:numPr>
        <w:jc w:val="both"/>
        <w:rPr>
          <w:rFonts w:ascii="Arial" w:hAnsi="Arial" w:eastAsia="Times Roman" w:cs="Arial"/>
          <w:b/>
          <w:b/>
          <w:bCs/>
          <w:sz w:val="23"/>
          <w:szCs w:val="23"/>
        </w:rPr>
      </w:pPr>
      <w:r>
        <w:rPr>
          <w:rFonts w:cs="Arial" w:ascii="Arial" w:hAnsi="Arial"/>
          <w:b/>
          <w:bCs/>
          <w:sz w:val="23"/>
          <w:szCs w:val="23"/>
        </w:rPr>
        <w:t>sono ignoti gli effetti avversi a breve, medio e lungo termine</w:t>
      </w:r>
      <w:r>
        <w:rPr>
          <w:rFonts w:cs="Arial" w:ascii="Arial" w:hAnsi="Arial"/>
          <w:sz w:val="23"/>
          <w:szCs w:val="23"/>
        </w:rPr>
        <w:t>;</w:t>
      </w:r>
    </w:p>
    <w:p>
      <w:pPr>
        <w:pStyle w:val="Didefault"/>
        <w:numPr>
          <w:ilvl w:val="0"/>
          <w:numId w:val="1"/>
        </w:numPr>
        <w:jc w:val="both"/>
        <w:rPr>
          <w:rFonts w:ascii="Arial" w:hAnsi="Arial" w:eastAsia="Times Roman" w:cs="Arial"/>
          <w:sz w:val="23"/>
          <w:szCs w:val="23"/>
        </w:rPr>
      </w:pPr>
      <w:r>
        <w:rPr>
          <w:rFonts w:cs="Arial" w:ascii="Arial" w:hAnsi="Arial"/>
          <w:sz w:val="23"/>
          <w:szCs w:val="23"/>
        </w:rPr>
        <w:t xml:space="preserve">non sono stati effettuati studi di </w:t>
      </w:r>
      <w:r>
        <w:rPr>
          <w:rFonts w:cs="Arial" w:ascii="Arial" w:hAnsi="Arial"/>
          <w:b/>
          <w:bCs/>
          <w:sz w:val="23"/>
          <w:szCs w:val="23"/>
        </w:rPr>
        <w:t>farmacodinamica</w:t>
      </w:r>
      <w:r>
        <w:rPr>
          <w:rFonts w:cs="Arial" w:ascii="Arial" w:hAnsi="Arial"/>
          <w:sz w:val="23"/>
          <w:szCs w:val="23"/>
        </w:rPr>
        <w:t xml:space="preserve"> e non è noto se il farmaco possa essere trasmesso per via cutanea o respiratoria, né se venga escreto attraverso il latte materno. I documenti ufficiali non danno alcuna informazione sulle modalità di escrezione del medicinale, in particolare per quanto attiene a liquidi corporei quali </w:t>
      </w:r>
      <w:r>
        <w:rPr>
          <w:rFonts w:cs="Arial" w:ascii="Arial" w:hAnsi="Arial"/>
          <w:sz w:val="23"/>
          <w:szCs w:val="23"/>
        </w:rPr>
        <w:t>quello seminale o la</w:t>
      </w:r>
      <w:r>
        <w:rPr>
          <w:rFonts w:cs="Arial" w:ascii="Arial" w:hAnsi="Arial"/>
          <w:sz w:val="23"/>
          <w:szCs w:val="23"/>
        </w:rPr>
        <w:t xml:space="preserve"> saliva, né per quanto attiene a feci o campioni ematici;</w:t>
      </w:r>
    </w:p>
    <w:p>
      <w:pPr>
        <w:pStyle w:val="Didefault"/>
        <w:numPr>
          <w:ilvl w:val="0"/>
          <w:numId w:val="1"/>
        </w:numPr>
        <w:jc w:val="both"/>
        <w:rPr>
          <w:rFonts w:ascii="Arial" w:hAnsi="Arial" w:eastAsia="Times Roman" w:cs="Arial"/>
          <w:sz w:val="23"/>
          <w:szCs w:val="23"/>
        </w:rPr>
      </w:pPr>
      <w:r>
        <w:rPr>
          <w:rFonts w:cs="Arial" w:ascii="Arial" w:hAnsi="Arial"/>
          <w:sz w:val="23"/>
          <w:szCs w:val="23"/>
        </w:rPr>
        <w:t>“</w:t>
      </w:r>
      <w:r>
        <w:rPr>
          <w:rFonts w:cs="Arial" w:ascii="Arial" w:hAnsi="Arial"/>
          <w:sz w:val="23"/>
          <w:szCs w:val="23"/>
        </w:rPr>
        <w:t xml:space="preserve">la somministrazione di Comirnaty durante la gravidanza deve essere presa in considerazione </w:t>
      </w:r>
      <w:r>
        <w:rPr>
          <w:rFonts w:cs="Arial" w:ascii="Arial" w:hAnsi="Arial"/>
          <w:b/>
          <w:bCs/>
          <w:sz w:val="23"/>
          <w:szCs w:val="23"/>
        </w:rPr>
        <w:t>solo se i potenziali benefici sono superiori ai potenziali rischi per madre e per feto</w:t>
      </w:r>
      <w:r>
        <w:rPr>
          <w:rFonts w:cs="Arial" w:ascii="Arial" w:hAnsi="Arial"/>
          <w:sz w:val="23"/>
          <w:szCs w:val="23"/>
        </w:rPr>
        <w:t>”, giacché gli studi sono stati effettuati solo sugli animali. Ugualmente, gli studi diretti o indiretti sulla tossicità riproduttiva sono stati condotti solo sugli animali;</w:t>
      </w:r>
    </w:p>
    <w:p>
      <w:pPr>
        <w:pStyle w:val="Didefault"/>
        <w:numPr>
          <w:ilvl w:val="0"/>
          <w:numId w:val="1"/>
        </w:numPr>
        <w:jc w:val="both"/>
        <w:rPr>
          <w:rFonts w:ascii="Arial" w:hAnsi="Arial" w:eastAsia="Times Roman" w:cs="Arial"/>
          <w:sz w:val="23"/>
          <w:szCs w:val="23"/>
        </w:rPr>
      </w:pPr>
      <w:r>
        <w:rPr>
          <w:rFonts w:cs="Arial" w:ascii="Arial" w:hAnsi="Arial"/>
          <w:sz w:val="23"/>
          <w:szCs w:val="23"/>
        </w:rPr>
        <w:t xml:space="preserve">sono </w:t>
      </w:r>
      <w:r>
        <w:rPr>
          <w:rFonts w:cs="Arial" w:ascii="Arial" w:hAnsi="Arial"/>
          <w:b/>
          <w:bCs/>
          <w:sz w:val="23"/>
          <w:szCs w:val="23"/>
        </w:rPr>
        <w:t>ignote</w:t>
      </w:r>
      <w:r>
        <w:rPr>
          <w:rFonts w:cs="Arial" w:ascii="Arial" w:hAnsi="Arial"/>
          <w:sz w:val="23"/>
          <w:szCs w:val="23"/>
          <w:lang w:val="fr-FR"/>
        </w:rPr>
        <w:t xml:space="preserve"> la </w:t>
      </w:r>
      <w:r>
        <w:rPr>
          <w:rFonts w:cs="Arial" w:ascii="Arial" w:hAnsi="Arial"/>
          <w:b/>
          <w:bCs/>
          <w:sz w:val="23"/>
          <w:szCs w:val="23"/>
        </w:rPr>
        <w:t>carcinogenicità</w:t>
      </w:r>
      <w:r>
        <w:rPr>
          <w:rFonts w:cs="Arial" w:ascii="Arial" w:hAnsi="Arial"/>
          <w:sz w:val="23"/>
          <w:szCs w:val="23"/>
        </w:rPr>
        <w:t xml:space="preserve"> e la </w:t>
      </w:r>
      <w:r>
        <w:rPr>
          <w:rFonts w:cs="Arial" w:ascii="Arial" w:hAnsi="Arial"/>
          <w:b/>
          <w:bCs/>
          <w:sz w:val="23"/>
          <w:szCs w:val="23"/>
        </w:rPr>
        <w:t>tossicità</w:t>
      </w:r>
      <w:r>
        <w:rPr>
          <w:rFonts w:cs="Arial" w:ascii="Arial" w:hAnsi="Arial"/>
          <w:sz w:val="23"/>
          <w:szCs w:val="23"/>
        </w:rPr>
        <w:t xml:space="preserve"> dei farmaci in questione;</w:t>
      </w:r>
    </w:p>
    <w:p>
      <w:pPr>
        <w:pStyle w:val="Didefault"/>
        <w:numPr>
          <w:ilvl w:val="0"/>
          <w:numId w:val="1"/>
        </w:numPr>
        <w:jc w:val="both"/>
        <w:rPr>
          <w:rFonts w:ascii="Arial" w:hAnsi="Arial" w:eastAsia="Times Roman" w:cs="Arial"/>
          <w:sz w:val="23"/>
          <w:szCs w:val="23"/>
        </w:rPr>
      </w:pPr>
      <w:r>
        <w:rPr>
          <w:rFonts w:cs="Arial" w:ascii="Arial" w:hAnsi="Arial"/>
          <w:sz w:val="23"/>
          <w:szCs w:val="23"/>
        </w:rPr>
        <w:t xml:space="preserve">i risultati di </w:t>
      </w:r>
      <w:r>
        <w:rPr>
          <w:rFonts w:cs="Arial" w:ascii="Arial" w:hAnsi="Arial"/>
          <w:b/>
          <w:bCs/>
          <w:sz w:val="23"/>
          <w:szCs w:val="23"/>
        </w:rPr>
        <w:t>fine sperimentazione</w:t>
      </w:r>
      <w:r>
        <w:rPr>
          <w:rFonts w:cs="Arial" w:ascii="Arial" w:hAnsi="Arial"/>
          <w:sz w:val="23"/>
          <w:szCs w:val="23"/>
        </w:rPr>
        <w:t xml:space="preserve"> sono attesi per il </w:t>
      </w:r>
      <w:r>
        <w:rPr>
          <w:rFonts w:cs="Arial" w:ascii="Arial" w:hAnsi="Arial"/>
          <w:b/>
          <w:bCs/>
          <w:sz w:val="23"/>
          <w:szCs w:val="23"/>
        </w:rPr>
        <w:t>2023</w:t>
      </w:r>
      <w:r>
        <w:rPr>
          <w:rFonts w:cs="Arial" w:ascii="Arial" w:hAnsi="Arial"/>
          <w:sz w:val="23"/>
          <w:szCs w:val="23"/>
        </w:rPr>
        <w:t xml:space="preserve"> (con riferimento, ad esempio, al medicinale Comirnaty si riporta che </w:t>
      </w:r>
      <w:r>
        <w:rPr>
          <w:rFonts w:cs="Arial" w:ascii="Arial" w:hAnsi="Arial"/>
          <w:i/>
          <w:iCs/>
          <w:sz w:val="23"/>
          <w:szCs w:val="23"/>
          <w:lang w:val="ar-SA"/>
        </w:rPr>
        <w:t>“</w:t>
      </w:r>
      <w:r>
        <w:rPr>
          <w:rFonts w:cs="Arial" w:ascii="Arial" w:hAnsi="Arial"/>
          <w:i/>
          <w:iCs/>
          <w:sz w:val="23"/>
          <w:szCs w:val="23"/>
        </w:rPr>
        <w:t xml:space="preserve">Per confermare l’efficacia e la sicurezza di </w:t>
      </w:r>
      <w:r>
        <w:rPr>
          <w:rFonts w:cs="Arial" w:ascii="Arial" w:hAnsi="Arial"/>
          <w:i/>
          <w:iCs/>
          <w:sz w:val="23"/>
          <w:szCs w:val="23"/>
          <w:lang w:val="fr-FR"/>
        </w:rPr>
        <w:t>«</w:t>
      </w:r>
      <w:r>
        <w:rPr>
          <w:rFonts w:cs="Arial" w:ascii="Arial" w:hAnsi="Arial"/>
          <w:i/>
          <w:iCs/>
          <w:sz w:val="23"/>
          <w:szCs w:val="23"/>
        </w:rPr>
        <w:t>Comirnaty», il titolare dell’autorizzazione all’immissione in commercio deve fornire la relazione finale sullo studio clinico relativa allo studio C4591001 randomizzato, controllato verso placebo, in cieco per l’osservatore</w:t>
      </w:r>
      <w:r>
        <w:rPr>
          <w:rFonts w:cs="Arial" w:ascii="Arial" w:hAnsi="Arial"/>
          <w:sz w:val="23"/>
          <w:szCs w:val="23"/>
        </w:rPr>
        <w:t>”).</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 xml:space="preserve">Inoltre, alla data del 04.12.2021 EudraVigilance riporta all’indirizzo </w:t>
      </w:r>
      <w:r>
        <w:rPr>
          <w:rFonts w:cs="Arial" w:ascii="Arial" w:hAnsi="Arial"/>
          <w:color w:val="0433FF"/>
          <w:sz w:val="23"/>
          <w:szCs w:val="23"/>
        </w:rPr>
        <w:t xml:space="preserve">www.adrreports.eu </w:t>
      </w:r>
      <w:r>
        <w:rPr>
          <w:rFonts w:cs="Arial" w:ascii="Arial" w:hAnsi="Arial"/>
          <w:sz w:val="23"/>
          <w:szCs w:val="23"/>
        </w:rPr>
        <w:t xml:space="preserve">l’elevato numero di </w:t>
      </w:r>
      <w:r>
        <w:rPr>
          <w:rFonts w:cs="Arial" w:ascii="Arial" w:hAnsi="Arial"/>
          <w:b/>
          <w:bCs/>
          <w:sz w:val="23"/>
          <w:szCs w:val="23"/>
        </w:rPr>
        <w:t>eventi avversi</w:t>
      </w:r>
      <w:r>
        <w:rPr>
          <w:rFonts w:cs="Arial" w:ascii="Arial" w:hAnsi="Arial"/>
          <w:sz w:val="23"/>
          <w:szCs w:val="23"/>
        </w:rPr>
        <w:t>:</w:t>
      </w:r>
    </w:p>
    <w:p>
      <w:pPr>
        <w:pStyle w:val="Didefault"/>
        <w:numPr>
          <w:ilvl w:val="0"/>
          <w:numId w:val="2"/>
        </w:numPr>
        <w:jc w:val="both"/>
        <w:rPr>
          <w:rFonts w:ascii="Arial" w:hAnsi="Arial" w:eastAsia="Times Roman" w:cs="Arial"/>
          <w:sz w:val="23"/>
          <w:szCs w:val="23"/>
        </w:rPr>
      </w:pPr>
      <w:r>
        <w:rPr>
          <w:rFonts w:cs="Arial" w:ascii="Arial" w:hAnsi="Arial"/>
          <w:sz w:val="23"/>
          <w:szCs w:val="23"/>
        </w:rPr>
        <w:t xml:space="preserve">n. </w:t>
      </w:r>
      <w:r>
        <w:rPr>
          <w:rFonts w:cs="Arial" w:ascii="Arial" w:hAnsi="Arial"/>
          <w:b/>
          <w:bCs/>
          <w:sz w:val="23"/>
          <w:szCs w:val="23"/>
          <w:shd w:fill="FFFFFF" w:val="clear"/>
        </w:rPr>
        <w:t>607.283</w:t>
      </w:r>
      <w:r>
        <w:rPr>
          <w:rFonts w:cs="Arial" w:ascii="Arial" w:hAnsi="Arial"/>
          <w:sz w:val="23"/>
          <w:szCs w:val="23"/>
        </w:rPr>
        <w:t xml:space="preserve"> per Pfizer-Biontech (Tozinameran) Comirnaty</w:t>
      </w:r>
    </w:p>
    <w:p>
      <w:pPr>
        <w:pStyle w:val="Didefault"/>
        <w:numPr>
          <w:ilvl w:val="0"/>
          <w:numId w:val="2"/>
        </w:numPr>
        <w:jc w:val="both"/>
        <w:rPr>
          <w:rFonts w:ascii="Arial" w:hAnsi="Arial" w:eastAsia="Times Roman" w:cs="Arial"/>
          <w:sz w:val="23"/>
          <w:szCs w:val="23"/>
        </w:rPr>
      </w:pPr>
      <w:r>
        <w:rPr>
          <w:rFonts w:cs="Arial" w:ascii="Arial" w:hAnsi="Arial"/>
          <w:sz w:val="23"/>
          <w:szCs w:val="23"/>
        </w:rPr>
        <w:t xml:space="preserve">n. </w:t>
      </w:r>
      <w:r>
        <w:rPr>
          <w:rFonts w:cs="Arial" w:ascii="Arial" w:hAnsi="Arial"/>
          <w:b/>
          <w:bCs/>
          <w:sz w:val="23"/>
          <w:szCs w:val="23"/>
          <w:shd w:fill="FFFFFF" w:val="clear"/>
        </w:rPr>
        <w:t>416.188</w:t>
      </w:r>
      <w:r>
        <w:rPr>
          <w:rFonts w:cs="Arial" w:ascii="Arial" w:hAnsi="Arial"/>
          <w:sz w:val="23"/>
          <w:szCs w:val="23"/>
        </w:rPr>
        <w:t xml:space="preserve"> per Astrazeneca,</w:t>
      </w:r>
    </w:p>
    <w:p>
      <w:pPr>
        <w:pStyle w:val="Didefault"/>
        <w:numPr>
          <w:ilvl w:val="0"/>
          <w:numId w:val="2"/>
        </w:numPr>
        <w:jc w:val="both"/>
        <w:rPr>
          <w:rFonts w:ascii="Arial" w:hAnsi="Arial" w:eastAsia="Times Roman" w:cs="Arial"/>
          <w:sz w:val="23"/>
          <w:szCs w:val="23"/>
        </w:rPr>
      </w:pPr>
      <w:r>
        <w:rPr>
          <w:rFonts w:cs="Arial" w:ascii="Arial" w:hAnsi="Arial"/>
          <w:sz w:val="23"/>
          <w:szCs w:val="23"/>
        </w:rPr>
        <w:t xml:space="preserve">n. </w:t>
      </w:r>
      <w:r>
        <w:rPr>
          <w:rFonts w:cs="Arial" w:ascii="Arial" w:hAnsi="Arial"/>
          <w:b/>
          <w:bCs/>
          <w:sz w:val="23"/>
          <w:szCs w:val="23"/>
        </w:rPr>
        <w:t>165.883</w:t>
      </w:r>
      <w:r>
        <w:rPr>
          <w:rFonts w:cs="Arial" w:ascii="Arial" w:hAnsi="Arial"/>
          <w:sz w:val="23"/>
          <w:szCs w:val="23"/>
        </w:rPr>
        <w:t xml:space="preserve"> per CX-024414 Moderna</w:t>
      </w:r>
    </w:p>
    <w:p>
      <w:pPr>
        <w:pStyle w:val="Didefault"/>
        <w:numPr>
          <w:ilvl w:val="0"/>
          <w:numId w:val="2"/>
        </w:numPr>
        <w:jc w:val="both"/>
        <w:rPr>
          <w:rFonts w:ascii="Arial" w:hAnsi="Arial" w:eastAsia="Times Roman" w:cs="Arial"/>
          <w:sz w:val="23"/>
          <w:szCs w:val="23"/>
          <w:lang w:val="en-US"/>
        </w:rPr>
      </w:pPr>
      <w:r>
        <w:rPr>
          <w:rFonts w:cs="Arial" w:ascii="Arial" w:hAnsi="Arial"/>
          <w:sz w:val="23"/>
          <w:szCs w:val="23"/>
          <w:lang w:val="en-US"/>
        </w:rPr>
        <w:t xml:space="preserve">n.   </w:t>
      </w:r>
      <w:r>
        <w:rPr>
          <w:rFonts w:cs="Arial" w:ascii="Arial" w:hAnsi="Arial"/>
          <w:b/>
          <w:bCs/>
          <w:sz w:val="23"/>
          <w:szCs w:val="23"/>
          <w:shd w:fill="FFFFFF" w:val="clear"/>
          <w:lang w:val="en-GB"/>
        </w:rPr>
        <w:t>39.426</w:t>
      </w:r>
      <w:r>
        <w:rPr>
          <w:rFonts w:cs="Arial" w:ascii="Arial" w:hAnsi="Arial"/>
          <w:sz w:val="23"/>
          <w:szCs w:val="23"/>
          <w:lang w:val="en-US"/>
        </w:rPr>
        <w:t xml:space="preserve"> per AD26.COV2.S Janssen.</w:t>
      </w:r>
      <w:bookmarkStart w:id="0" w:name="_Hlk89679848"/>
      <w:bookmarkEnd w:id="0"/>
    </w:p>
    <w:p>
      <w:pPr>
        <w:pStyle w:val="Didefault"/>
        <w:jc w:val="both"/>
        <w:rPr>
          <w:rFonts w:ascii="Arial" w:hAnsi="Arial" w:eastAsia="Times Roman" w:cs="Arial"/>
          <w:sz w:val="23"/>
          <w:szCs w:val="23"/>
          <w:lang w:val="en-US"/>
        </w:rPr>
      </w:pPr>
      <w:r>
        <w:rPr>
          <w:rFonts w:eastAsia="Times Roman" w:cs="Arial" w:ascii="Arial" w:hAnsi="Arial"/>
          <w:sz w:val="23"/>
          <w:szCs w:val="23"/>
          <w:lang w:val="en-US"/>
        </w:rPr>
      </w:r>
    </w:p>
    <w:p>
      <w:pPr>
        <w:pStyle w:val="Didefault"/>
        <w:jc w:val="both"/>
        <w:rPr>
          <w:rFonts w:ascii="Arial" w:hAnsi="Arial" w:eastAsia="Times Roman" w:cs="Arial"/>
          <w:sz w:val="23"/>
          <w:szCs w:val="23"/>
        </w:rPr>
      </w:pPr>
      <w:r>
        <w:rPr>
          <w:rFonts w:cs="Arial" w:ascii="Arial" w:hAnsi="Arial"/>
          <w:sz w:val="23"/>
          <w:szCs w:val="23"/>
        </w:rPr>
        <w:t xml:space="preserve">Tali farmaci per la prevenzione del COVID-19, dunque, </w:t>
      </w:r>
      <w:r>
        <w:rPr>
          <w:rFonts w:cs="Arial" w:ascii="Arial" w:hAnsi="Arial"/>
          <w:b/>
          <w:bCs/>
          <w:sz w:val="23"/>
          <w:szCs w:val="23"/>
        </w:rPr>
        <w:t>non ottemperano</w:t>
      </w:r>
      <w:r>
        <w:rPr>
          <w:rFonts w:cs="Arial" w:ascii="Arial" w:hAnsi="Arial"/>
          <w:sz w:val="23"/>
          <w:szCs w:val="23"/>
        </w:rPr>
        <w:t xml:space="preserve"> </w:t>
      </w:r>
      <w:r>
        <w:rPr>
          <w:rFonts w:cs="Arial" w:ascii="Arial" w:hAnsi="Arial"/>
          <w:b/>
          <w:bCs/>
          <w:sz w:val="23"/>
          <w:szCs w:val="23"/>
        </w:rPr>
        <w:t>n</w:t>
      </w:r>
      <w:r>
        <w:rPr>
          <w:rFonts w:cs="Arial" w:ascii="Arial" w:hAnsi="Arial"/>
          <w:b/>
          <w:bCs/>
          <w:sz w:val="23"/>
          <w:szCs w:val="23"/>
          <w:lang w:val="fr-FR"/>
        </w:rPr>
        <w:t xml:space="preserve">é </w:t>
      </w:r>
      <w:r>
        <w:rPr>
          <w:rFonts w:cs="Arial" w:ascii="Arial" w:hAnsi="Arial"/>
          <w:b/>
          <w:bCs/>
          <w:sz w:val="23"/>
          <w:szCs w:val="23"/>
        </w:rPr>
        <w:t>ai requisiti previsti dal DL 44/20 (art. 4, comma 1)</w:t>
      </w:r>
      <w:r>
        <w:rPr>
          <w:rFonts w:cs="Arial" w:ascii="Arial" w:hAnsi="Arial"/>
          <w:sz w:val="23"/>
          <w:szCs w:val="23"/>
        </w:rPr>
        <w:t xml:space="preserve"> relativi all’obbligo vaccinale, n</w:t>
      </w:r>
      <w:r>
        <w:rPr>
          <w:rFonts w:cs="Arial" w:ascii="Arial" w:hAnsi="Arial"/>
          <w:sz w:val="23"/>
          <w:szCs w:val="23"/>
          <w:lang w:val="fr-FR"/>
        </w:rPr>
        <w:t xml:space="preserve">é </w:t>
      </w:r>
      <w:r>
        <w:rPr>
          <w:rFonts w:cs="Arial" w:ascii="Arial" w:hAnsi="Arial"/>
          <w:sz w:val="23"/>
          <w:szCs w:val="23"/>
        </w:rPr>
        <w:t xml:space="preserve">a quelli previsti dal </w:t>
      </w:r>
      <w:r>
        <w:rPr>
          <w:rFonts w:cs="Arial" w:ascii="Arial" w:hAnsi="Arial"/>
          <w:b/>
          <w:bCs/>
          <w:sz w:val="23"/>
          <w:szCs w:val="23"/>
        </w:rPr>
        <w:t>DL 52/21 (art. 9, comma 1)</w:t>
      </w:r>
      <w:r>
        <w:rPr>
          <w:rFonts w:cs="Arial" w:ascii="Arial" w:hAnsi="Arial"/>
          <w:sz w:val="23"/>
          <w:szCs w:val="23"/>
        </w:rPr>
        <w:t xml:space="preserve"> relativi al rilascio del c.d. </w:t>
      </w:r>
      <w:r>
        <w:rPr>
          <w:rFonts w:cs="Arial" w:ascii="Arial" w:hAnsi="Arial"/>
          <w:sz w:val="23"/>
          <w:szCs w:val="23"/>
          <w:lang w:val="ar-SA"/>
        </w:rPr>
        <w:t>“</w:t>
      </w:r>
      <w:r>
        <w:rPr>
          <w:rFonts w:cs="Arial" w:ascii="Arial" w:hAnsi="Arial"/>
          <w:sz w:val="23"/>
          <w:szCs w:val="23"/>
        </w:rPr>
        <w:t>green pass”, in quanto entrambi, prevedono l’inoculo del vaccino anti-SARS (</w:t>
      </w:r>
      <w:r>
        <w:rPr>
          <w:rFonts w:cs="Arial" w:ascii="Arial" w:hAnsi="Arial"/>
          <w:b/>
          <w:bCs/>
          <w:sz w:val="23"/>
          <w:szCs w:val="23"/>
          <w:u w:val="single"/>
        </w:rPr>
        <w:t>non</w:t>
      </w:r>
      <w:r>
        <w:rPr>
          <w:rFonts w:cs="Arial" w:ascii="Arial" w:hAnsi="Arial"/>
          <w:sz w:val="23"/>
          <w:szCs w:val="23"/>
        </w:rPr>
        <w:t xml:space="preserve"> anti-COVID).</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cs="Arial"/>
          <w:sz w:val="23"/>
          <w:szCs w:val="23"/>
        </w:rPr>
      </w:pPr>
      <w:r>
        <w:rPr>
          <w:rFonts w:cs="Arial" w:ascii="Arial" w:hAnsi="Arial"/>
          <w:sz w:val="23"/>
          <w:szCs w:val="23"/>
        </w:rPr>
        <w:t>Tutto ciò premesso e ricordando anche che:</w:t>
      </w:r>
    </w:p>
    <w:p>
      <w:pPr>
        <w:pStyle w:val="Didefault"/>
        <w:numPr>
          <w:ilvl w:val="1"/>
          <w:numId w:val="3"/>
        </w:numPr>
        <w:ind w:left="426" w:hanging="284"/>
        <w:jc w:val="both"/>
        <w:rPr>
          <w:rFonts w:ascii="Arial" w:hAnsi="Arial" w:eastAsia="Times Roman" w:cs="Arial"/>
          <w:sz w:val="23"/>
          <w:szCs w:val="23"/>
        </w:rPr>
      </w:pPr>
      <w:r>
        <w:rPr>
          <w:rFonts w:cs="Arial" w:ascii="Arial" w:hAnsi="Arial"/>
          <w:sz w:val="23"/>
          <w:szCs w:val="23"/>
        </w:rPr>
        <w:t xml:space="preserve">gli artt. </w:t>
      </w:r>
      <w:r>
        <w:rPr>
          <w:rFonts w:cs="Arial" w:ascii="Arial" w:hAnsi="Arial"/>
          <w:b/>
          <w:bCs/>
          <w:sz w:val="23"/>
          <w:szCs w:val="23"/>
        </w:rPr>
        <w:t>48</w:t>
      </w:r>
      <w:r>
        <w:rPr>
          <w:rFonts w:cs="Arial" w:ascii="Arial" w:hAnsi="Arial"/>
          <w:sz w:val="23"/>
          <w:szCs w:val="23"/>
        </w:rPr>
        <w:t xml:space="preserve"> (Sperimentazione umana) e </w:t>
      </w:r>
      <w:r>
        <w:rPr>
          <w:rFonts w:cs="Arial" w:ascii="Arial" w:hAnsi="Arial"/>
          <w:b/>
          <w:bCs/>
          <w:sz w:val="23"/>
          <w:szCs w:val="23"/>
        </w:rPr>
        <w:t>49</w:t>
      </w:r>
      <w:r>
        <w:rPr>
          <w:rFonts w:cs="Arial" w:ascii="Arial" w:hAnsi="Arial"/>
          <w:sz w:val="23"/>
          <w:szCs w:val="23"/>
        </w:rPr>
        <w:t xml:space="preserve"> (Sperimentazione clinica) del Codice di Deontologia Medica </w:t>
      </w:r>
      <w:r>
        <w:rPr>
          <w:rFonts w:cs="Arial" w:ascii="Arial" w:hAnsi="Arial"/>
          <w:b/>
          <w:bCs/>
          <w:sz w:val="23"/>
          <w:szCs w:val="23"/>
          <w:u w:val="single"/>
        </w:rPr>
        <w:t>vietano</w:t>
      </w:r>
      <w:r>
        <w:rPr>
          <w:rFonts w:cs="Arial" w:ascii="Arial" w:hAnsi="Arial"/>
          <w:sz w:val="23"/>
          <w:szCs w:val="23"/>
          <w:u w:val="single"/>
        </w:rPr>
        <w:t xml:space="preserve"> la somministrazione di farmaci sperimentali a pazienti </w:t>
      </w:r>
      <w:r>
        <w:rPr>
          <w:rFonts w:cs="Arial" w:ascii="Arial" w:hAnsi="Arial"/>
          <w:b/>
          <w:bCs/>
          <w:sz w:val="23"/>
          <w:szCs w:val="23"/>
          <w:u w:val="single"/>
        </w:rPr>
        <w:t>dissenzienti</w:t>
      </w:r>
      <w:r>
        <w:rPr>
          <w:rFonts w:cs="Arial" w:ascii="Arial" w:hAnsi="Arial"/>
          <w:sz w:val="23"/>
          <w:szCs w:val="23"/>
        </w:rPr>
        <w:t xml:space="preserve"> e che </w:t>
      </w:r>
    </w:p>
    <w:p>
      <w:pPr>
        <w:pStyle w:val="Didefault"/>
        <w:numPr>
          <w:ilvl w:val="1"/>
          <w:numId w:val="3"/>
        </w:numPr>
        <w:ind w:left="426" w:hanging="284"/>
        <w:jc w:val="both"/>
        <w:rPr>
          <w:rFonts w:ascii="Arial" w:hAnsi="Arial" w:eastAsia="Times Roman" w:cs="Arial"/>
          <w:sz w:val="23"/>
          <w:szCs w:val="23"/>
        </w:rPr>
      </w:pPr>
      <w:r>
        <w:rPr>
          <w:rFonts w:cs="Arial" w:ascii="Arial" w:hAnsi="Arial"/>
          <w:sz w:val="23"/>
          <w:szCs w:val="23"/>
        </w:rPr>
        <w:t xml:space="preserve">la prescrizione di un farmaco è finalizzata ad assicurare un </w:t>
      </w:r>
      <w:r>
        <w:rPr>
          <w:rFonts w:cs="Arial" w:ascii="Arial" w:hAnsi="Arial"/>
          <w:b/>
          <w:bCs/>
          <w:sz w:val="23"/>
          <w:szCs w:val="23"/>
          <w:u w:val="single"/>
        </w:rPr>
        <w:t>vantaggio</w:t>
      </w:r>
      <w:r>
        <w:rPr>
          <w:rFonts w:cs="Arial" w:ascii="Arial" w:hAnsi="Arial"/>
          <w:sz w:val="23"/>
          <w:szCs w:val="23"/>
          <w:u w:val="single"/>
        </w:rPr>
        <w:t xml:space="preserve"> </w:t>
      </w:r>
      <w:r>
        <w:rPr>
          <w:rFonts w:cs="Arial" w:ascii="Arial" w:hAnsi="Arial"/>
          <w:sz w:val="23"/>
          <w:szCs w:val="23"/>
        </w:rPr>
        <w:t xml:space="preserve">al paziente, </w:t>
      </w:r>
    </w:p>
    <w:p>
      <w:pPr>
        <w:pStyle w:val="Didefault"/>
        <w:ind w:left="-11" w:hanging="0"/>
        <w:jc w:val="both"/>
        <w:rPr>
          <w:rFonts w:ascii="Arial" w:hAnsi="Arial" w:cs="Arial"/>
          <w:sz w:val="23"/>
          <w:szCs w:val="23"/>
          <w:u w:val="single"/>
        </w:rPr>
      </w:pPr>
      <w:r>
        <w:rPr>
          <w:rFonts w:cs="Arial" w:ascii="Arial" w:hAnsi="Arial"/>
          <w:sz w:val="23"/>
          <w:szCs w:val="23"/>
          <w:u w:val="single"/>
        </w:rPr>
      </w:r>
    </w:p>
    <w:p>
      <w:pPr>
        <w:pStyle w:val="Didefault"/>
        <w:jc w:val="both"/>
        <w:rPr>
          <w:rFonts w:ascii="Arial" w:hAnsi="Arial" w:eastAsia="Times Roman" w:cs="Arial"/>
          <w:sz w:val="23"/>
          <w:szCs w:val="23"/>
        </w:rPr>
      </w:pPr>
      <w:r>
        <w:rPr>
          <w:rFonts w:cs="Arial" w:ascii="Arial" w:hAnsi="Arial"/>
          <w:sz w:val="23"/>
          <w:szCs w:val="23"/>
        </w:rPr>
        <w:t xml:space="preserve">Le chiedo di prescrivermi </w:t>
      </w:r>
      <w:r>
        <w:rPr>
          <w:rFonts w:cs="Arial" w:ascii="Arial" w:hAnsi="Arial"/>
          <w:b/>
          <w:bCs/>
          <w:sz w:val="23"/>
          <w:szCs w:val="23"/>
        </w:rPr>
        <w:t>il vaccino citato dalla legge</w:t>
      </w:r>
      <w:r>
        <w:rPr>
          <w:rFonts w:cs="Arial" w:ascii="Arial" w:hAnsi="Arial"/>
          <w:sz w:val="23"/>
          <w:szCs w:val="23"/>
        </w:rPr>
        <w:t xml:space="preserve"> (</w:t>
      </w:r>
      <w:r>
        <w:rPr>
          <w:rFonts w:eastAsia="Arial Unicode MS" w:cs="Arial" w:ascii="Arial" w:hAnsi="Arial"/>
          <w:color w:val="000000"/>
          <w:kern w:val="0"/>
          <w:sz w:val="23"/>
          <w:szCs w:val="23"/>
          <w:lang w:val="it-IT" w:eastAsia="it-IT" w:bidi="ar-SA"/>
          <w14:textOutline w14:w="0" w14:cap="flat" w14:cmpd="sng" w14:algn="ctr">
            <w14:noFill/>
            <w14:prstDash w14:val="solid"/>
            <w14:bevel/>
          </w14:textOutline>
        </w:rPr>
        <w:t>prodotto</w:t>
      </w:r>
      <w:r>
        <w:rPr>
          <w:rFonts w:cs="Arial" w:ascii="Arial" w:hAnsi="Arial"/>
          <w:sz w:val="23"/>
          <w:szCs w:val="23"/>
        </w:rPr>
        <w:t xml:space="preserve"> </w:t>
      </w:r>
      <w:r>
        <w:rPr>
          <w:rFonts w:cs="Arial" w:ascii="Arial" w:hAnsi="Arial"/>
          <w:b/>
          <w:bCs/>
          <w:sz w:val="23"/>
          <w:szCs w:val="23"/>
        </w:rPr>
        <w:t>anti SARS-Cov-2</w:t>
      </w:r>
      <w:r>
        <w:rPr>
          <w:rFonts w:cs="Arial" w:ascii="Arial" w:hAnsi="Arial"/>
          <w:sz w:val="23"/>
          <w:szCs w:val="23"/>
        </w:rPr>
        <w:t>), - ovvero un vaccino non sperimentale e che prevenga l’infezione e il contagio da SARS-Cov-2 - affinché</w:t>
      </w:r>
      <w:r>
        <w:rPr>
          <w:rFonts w:cs="Arial" w:ascii="Arial" w:hAnsi="Arial"/>
          <w:sz w:val="23"/>
          <w:szCs w:val="23"/>
          <w:lang w:val="fr-FR"/>
        </w:rPr>
        <w:t xml:space="preserve"> </w:t>
      </w:r>
      <w:r>
        <w:rPr>
          <w:rFonts w:cs="Arial" w:ascii="Arial" w:hAnsi="Arial"/>
          <w:sz w:val="23"/>
          <w:szCs w:val="23"/>
        </w:rPr>
        <w:t>io possa salvaguardare la mia salute e quella di tutti gli altri cittadini italiani, nonché</w:t>
      </w:r>
      <w:r>
        <w:rPr>
          <w:rFonts w:cs="Arial" w:ascii="Arial" w:hAnsi="Arial"/>
          <w:sz w:val="23"/>
          <w:szCs w:val="23"/>
          <w:lang w:val="fr-FR"/>
        </w:rPr>
        <w:t xml:space="preserve"> </w:t>
      </w:r>
      <w:r>
        <w:rPr>
          <w:rFonts w:cs="Arial" w:ascii="Arial" w:hAnsi="Arial"/>
          <w:b/>
          <w:bCs/>
          <w:sz w:val="23"/>
          <w:szCs w:val="23"/>
        </w:rPr>
        <w:t>fruire dei miei diritti costituzionali</w:t>
      </w:r>
      <w:r>
        <w:rPr>
          <w:rFonts w:cs="Arial" w:ascii="Arial" w:hAnsi="Arial"/>
          <w:sz w:val="23"/>
          <w:szCs w:val="23"/>
        </w:rPr>
        <w:t xml:space="preserve">, non ultimo quello garantito al </w:t>
      </w:r>
      <w:r>
        <w:rPr>
          <w:rFonts w:cs="Arial" w:ascii="Arial" w:hAnsi="Arial"/>
          <w:b/>
          <w:bCs/>
          <w:sz w:val="23"/>
          <w:szCs w:val="23"/>
        </w:rPr>
        <w:t>lavoro</w:t>
      </w:r>
      <w:r>
        <w:rPr>
          <w:rFonts w:cs="Arial" w:ascii="Arial" w:hAnsi="Arial"/>
          <w:sz w:val="23"/>
          <w:szCs w:val="23"/>
        </w:rPr>
        <w:t xml:space="preserve"> (</w:t>
      </w:r>
      <w:r>
        <w:rPr>
          <w:rFonts w:cs="Arial" w:ascii="Arial" w:hAnsi="Arial"/>
          <w:b/>
          <w:bCs/>
          <w:sz w:val="23"/>
          <w:szCs w:val="23"/>
        </w:rPr>
        <w:t>artt. 1 e 4 Cost.</w:t>
      </w:r>
      <w:r>
        <w:rPr>
          <w:rFonts w:cs="Arial" w:ascii="Arial" w:hAnsi="Arial"/>
          <w:sz w:val="23"/>
          <w:szCs w:val="23"/>
        </w:rPr>
        <w:t>), e godere di una piena vita sociale senza il timore di costituire un pericolo per la collettività.</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 xml:space="preserve">In alternativa, qualora Lei ritenga opportuna la somministrazione del </w:t>
      </w:r>
      <w:r>
        <w:rPr>
          <w:rFonts w:cs="Arial" w:ascii="Arial" w:hAnsi="Arial"/>
          <w:sz w:val="23"/>
          <w:szCs w:val="23"/>
        </w:rPr>
        <w:t>farmaco</w:t>
      </w:r>
      <w:r>
        <w:rPr>
          <w:rFonts w:cs="Arial" w:ascii="Arial" w:hAnsi="Arial"/>
          <w:sz w:val="23"/>
          <w:szCs w:val="23"/>
        </w:rPr>
        <w:t xml:space="preserve"> </w:t>
      </w:r>
      <w:r>
        <w:rPr>
          <w:rFonts w:cs="Arial" w:ascii="Arial" w:hAnsi="Arial"/>
          <w:b/>
          <w:bCs/>
          <w:sz w:val="23"/>
          <w:szCs w:val="23"/>
          <w:lang w:val="nl-NL"/>
        </w:rPr>
        <w:t>anti-COVID-19</w:t>
      </w:r>
      <w:r>
        <w:rPr>
          <w:rFonts w:cs="Arial" w:ascii="Arial" w:hAnsi="Arial"/>
          <w:sz w:val="23"/>
          <w:szCs w:val="23"/>
        </w:rPr>
        <w:t>, La prego di:</w:t>
      </w:r>
    </w:p>
    <w:p>
      <w:pPr>
        <w:pStyle w:val="Didefault"/>
        <w:numPr>
          <w:ilvl w:val="0"/>
          <w:numId w:val="4"/>
        </w:numPr>
        <w:jc w:val="both"/>
        <w:rPr>
          <w:rFonts w:ascii="Arial" w:hAnsi="Arial" w:eastAsia="Times Roman" w:cs="Arial"/>
          <w:sz w:val="23"/>
          <w:szCs w:val="23"/>
        </w:rPr>
      </w:pPr>
      <w:r>
        <w:rPr>
          <w:rFonts w:cs="Arial" w:ascii="Arial" w:hAnsi="Arial"/>
          <w:b/>
          <w:bCs/>
          <w:sz w:val="23"/>
          <w:szCs w:val="23"/>
        </w:rPr>
        <w:t xml:space="preserve">indicare i benefici </w:t>
      </w:r>
      <w:r>
        <w:rPr>
          <w:rFonts w:cs="Arial" w:ascii="Arial" w:hAnsi="Arial"/>
          <w:sz w:val="23"/>
          <w:szCs w:val="23"/>
        </w:rPr>
        <w:t xml:space="preserve">che otterrei dalla </w:t>
      </w:r>
      <w:r>
        <w:rPr>
          <w:rFonts w:cs="Arial" w:ascii="Arial" w:hAnsi="Arial"/>
          <w:b/>
          <w:bCs/>
          <w:sz w:val="23"/>
          <w:szCs w:val="23"/>
        </w:rPr>
        <w:t>somministrazione di tale farmaco</w:t>
      </w:r>
      <w:r>
        <w:rPr>
          <w:rFonts w:cs="Arial" w:ascii="Arial" w:hAnsi="Arial"/>
          <w:sz w:val="23"/>
          <w:szCs w:val="23"/>
        </w:rPr>
        <w:t>;</w:t>
      </w:r>
    </w:p>
    <w:p>
      <w:pPr>
        <w:pStyle w:val="Didefault"/>
        <w:numPr>
          <w:ilvl w:val="0"/>
          <w:numId w:val="4"/>
        </w:numPr>
        <w:jc w:val="both"/>
        <w:rPr>
          <w:rFonts w:ascii="Arial" w:hAnsi="Arial" w:cs="Arial"/>
          <w:sz w:val="23"/>
          <w:szCs w:val="23"/>
        </w:rPr>
      </w:pPr>
      <w:r>
        <w:rPr>
          <w:rFonts w:cs="Arial" w:ascii="Arial" w:hAnsi="Arial"/>
          <w:b/>
          <w:bCs/>
          <w:sz w:val="23"/>
          <w:szCs w:val="23"/>
        </w:rPr>
        <w:t xml:space="preserve">illustrare </w:t>
      </w:r>
      <w:r>
        <w:rPr>
          <w:rFonts w:cs="Arial" w:ascii="Arial" w:hAnsi="Arial"/>
          <w:sz w:val="23"/>
          <w:szCs w:val="23"/>
        </w:rPr>
        <w:t xml:space="preserve">in termini percentuali </w:t>
      </w:r>
      <w:r>
        <w:rPr>
          <w:rFonts w:cs="Arial" w:ascii="Arial" w:hAnsi="Arial"/>
          <w:b/>
          <w:bCs/>
          <w:sz w:val="23"/>
          <w:szCs w:val="23"/>
        </w:rPr>
        <w:t>le probabilità</w:t>
      </w:r>
      <w:r>
        <w:rPr>
          <w:rFonts w:cs="Arial" w:ascii="Arial" w:hAnsi="Arial"/>
          <w:sz w:val="23"/>
          <w:szCs w:val="23"/>
        </w:rPr>
        <w:t xml:space="preserve"> che ha il sottoscritto </w:t>
      </w:r>
      <w:r>
        <w:rPr>
          <w:rFonts w:cs="Arial" w:ascii="Arial" w:hAnsi="Arial"/>
          <w:b/>
          <w:bCs/>
          <w:sz w:val="23"/>
          <w:szCs w:val="23"/>
        </w:rPr>
        <w:t>di incorrere in eventi avversi</w:t>
      </w:r>
      <w:r>
        <w:rPr>
          <w:rFonts w:cs="Arial" w:ascii="Arial" w:hAnsi="Arial"/>
          <w:sz w:val="23"/>
          <w:szCs w:val="23"/>
        </w:rPr>
        <w:t xml:space="preserve"> gravi e </w:t>
      </w:r>
      <w:r>
        <w:rPr>
          <w:rFonts w:cs="Arial" w:ascii="Arial" w:hAnsi="Arial"/>
          <w:b/>
          <w:bCs/>
          <w:sz w:val="23"/>
          <w:szCs w:val="23"/>
        </w:rPr>
        <w:t>perch</w:t>
      </w:r>
      <w:r>
        <w:rPr>
          <w:rFonts w:cs="Arial" w:ascii="Arial" w:hAnsi="Arial"/>
          <w:b/>
          <w:bCs/>
          <w:sz w:val="23"/>
          <w:szCs w:val="23"/>
          <w:lang w:val="fr-FR"/>
        </w:rPr>
        <w:t>é</w:t>
      </w:r>
      <w:r>
        <w:rPr>
          <w:rFonts w:cs="Arial" w:ascii="Arial" w:hAnsi="Arial"/>
          <w:sz w:val="23"/>
          <w:szCs w:val="23"/>
          <w:lang w:val="fr-FR"/>
        </w:rPr>
        <w:t xml:space="preserve"> </w:t>
      </w:r>
      <w:r>
        <w:rPr>
          <w:rFonts w:cs="Arial" w:ascii="Arial" w:hAnsi="Arial"/>
          <w:sz w:val="23"/>
          <w:szCs w:val="23"/>
        </w:rPr>
        <w:t>Lei ritenga - per comprovate e documentabili evidenze scritte - sia eventualmente più vantaggioso sottoporsi all’inoculazione del farmaco da Lei indicato (</w:t>
      </w:r>
      <w:r>
        <w:rPr>
          <w:rFonts w:eastAsia="Arial Unicode MS" w:cs="Arial" w:ascii="Arial" w:hAnsi="Arial"/>
          <w:color w:val="000000"/>
          <w:kern w:val="0"/>
          <w:sz w:val="23"/>
          <w:szCs w:val="23"/>
          <w:lang w:val="it-IT" w:eastAsia="it-IT" w:bidi="ar-SA"/>
          <w14:textOutline w14:w="0" w14:cap="flat" w14:cmpd="sng" w14:algn="ctr">
            <w14:noFill/>
            <w14:prstDash w14:val="solid"/>
            <w14:bevel/>
          </w14:textOutline>
        </w:rPr>
        <w:t>farmaco</w:t>
      </w:r>
      <w:r>
        <w:rPr>
          <w:rFonts w:cs="Arial" w:ascii="Arial" w:hAnsi="Arial"/>
          <w:sz w:val="23"/>
          <w:szCs w:val="23"/>
        </w:rPr>
        <w:t xml:space="preserve"> </w:t>
      </w:r>
      <w:r>
        <w:rPr>
          <w:rFonts w:cs="Arial" w:ascii="Arial" w:hAnsi="Arial"/>
          <w:b w:val="false"/>
          <w:bCs w:val="false"/>
          <w:sz w:val="23"/>
          <w:szCs w:val="23"/>
          <w:lang w:val="nl-NL"/>
        </w:rPr>
        <w:t>anti-COVID-19</w:t>
      </w:r>
      <w:r>
        <w:rPr>
          <w:rFonts w:cs="Arial" w:ascii="Arial" w:hAnsi="Arial"/>
          <w:sz w:val="23"/>
          <w:szCs w:val="23"/>
        </w:rPr>
        <w:t>) rispetto alle cure esistenti;</w:t>
      </w:r>
    </w:p>
    <w:p>
      <w:pPr>
        <w:pStyle w:val="Didefault"/>
        <w:numPr>
          <w:ilvl w:val="0"/>
          <w:numId w:val="4"/>
        </w:numPr>
        <w:jc w:val="both"/>
        <w:rPr>
          <w:rFonts w:ascii="Arial" w:hAnsi="Arial" w:cs="Arial"/>
          <w:sz w:val="23"/>
          <w:szCs w:val="23"/>
        </w:rPr>
      </w:pPr>
      <w:r>
        <w:rPr>
          <w:rFonts w:cs="Arial" w:ascii="Arial" w:hAnsi="Arial"/>
          <w:b/>
          <w:bCs/>
          <w:sz w:val="23"/>
          <w:szCs w:val="23"/>
          <w:u w:val="single"/>
        </w:rPr>
        <w:t>emettere la prescrizione limitativa obbligatoria, come da Determina 154/2020</w:t>
      </w:r>
      <w:r>
        <w:rPr>
          <w:rStyle w:val="Richiamoallanotaapidipagina"/>
          <w:rFonts w:eastAsia="Times Roman" w:cs="Arial" w:ascii="Arial" w:hAnsi="Arial"/>
          <w:sz w:val="23"/>
          <w:szCs w:val="23"/>
          <w:vertAlign w:val="superscript"/>
        </w:rPr>
        <w:footnoteReference w:id="3"/>
      </w:r>
      <w:r>
        <w:rPr>
          <w:rFonts w:cs="Arial" w:ascii="Arial" w:hAnsi="Arial"/>
          <w:b/>
          <w:bCs/>
          <w:sz w:val="23"/>
          <w:szCs w:val="23"/>
          <w:u w:val="single"/>
        </w:rPr>
        <w:t xml:space="preserve"> dell’Agenzia Italiana del Farmaco (AIFA)</w:t>
      </w:r>
      <w:r>
        <w:rPr>
          <w:rFonts w:cs="Arial" w:ascii="Arial" w:hAnsi="Arial"/>
          <w:sz w:val="23"/>
          <w:szCs w:val="23"/>
        </w:rPr>
        <w:t xml:space="preserve">, pubblicata nella Gazzetta Ufficiale n. 318 del 23.12.2020 del medicinale da Lei ritenuto più idoneo e sicuro, che mi garantisca di non risultare, dopo il vaccino, infetto o infettante per la mia o altrui incolumità o pericoloso per terze persone a causa del noto fenomeno di </w:t>
      </w:r>
      <w:r>
        <w:rPr>
          <w:rFonts w:cs="Arial" w:ascii="Arial" w:hAnsi="Arial"/>
          <w:sz w:val="23"/>
          <w:szCs w:val="23"/>
          <w:lang w:val="ar-SA"/>
        </w:rPr>
        <w:t>“</w:t>
      </w:r>
      <w:r>
        <w:rPr>
          <w:rFonts w:cs="Arial" w:ascii="Arial" w:hAnsi="Arial"/>
          <w:i/>
          <w:iCs/>
          <w:sz w:val="23"/>
          <w:szCs w:val="23"/>
        </w:rPr>
        <w:t>shedding vaccinale</w:t>
      </w:r>
      <w:r>
        <w:rPr>
          <w:rFonts w:cs="Arial" w:ascii="Arial" w:hAnsi="Arial"/>
          <w:sz w:val="23"/>
          <w:szCs w:val="23"/>
        </w:rPr>
        <w:t>”.</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Considerato che</w:t>
      </w:r>
      <w:r>
        <w:rPr>
          <w:rFonts w:cs="Arial" w:ascii="Arial" w:hAnsi="Arial"/>
          <w:sz w:val="23"/>
          <w:szCs w:val="23"/>
          <w:lang w:val="fr-FR"/>
        </w:rPr>
        <w:t xml:space="preserve"> </w:t>
      </w:r>
      <w:r>
        <w:rPr>
          <w:rFonts w:cs="Arial" w:ascii="Arial" w:hAnsi="Arial"/>
          <w:sz w:val="23"/>
          <w:szCs w:val="23"/>
        </w:rPr>
        <w:t xml:space="preserve">la prescrizione limitativa obbligatoria può essere emessa solo dal medico di medicina generale </w:t>
      </w:r>
      <w:r>
        <w:rPr>
          <w:rFonts w:cs="Arial" w:ascii="Arial" w:hAnsi="Arial"/>
          <w:sz w:val="23"/>
          <w:szCs w:val="23"/>
        </w:rPr>
        <w:t>(specialista riconosciuto dal D. Lgs. 368/99)</w:t>
      </w:r>
      <w:r>
        <w:rPr>
          <w:rFonts w:cs="Arial" w:ascii="Arial" w:hAnsi="Arial"/>
          <w:sz w:val="23"/>
          <w:szCs w:val="23"/>
        </w:rPr>
        <w:t xml:space="preserve"> o da un medico ospedaliero, mi rivolgo a Lei, mio medico di base.</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cs="Arial"/>
          <w:sz w:val="23"/>
          <w:szCs w:val="23"/>
        </w:rPr>
      </w:pPr>
      <w:r>
        <w:rPr>
          <w:rFonts w:cs="Arial" w:ascii="Arial" w:hAnsi="Arial"/>
          <w:sz w:val="23"/>
          <w:szCs w:val="23"/>
        </w:rPr>
        <w:t>Tuttavia, poiché</w:t>
      </w:r>
      <w:r>
        <w:rPr>
          <w:rFonts w:cs="Arial" w:ascii="Arial" w:hAnsi="Arial"/>
          <w:sz w:val="23"/>
          <w:szCs w:val="23"/>
          <w:lang w:val="fr-FR"/>
        </w:rPr>
        <w:t xml:space="preserve"> </w:t>
      </w:r>
      <w:r>
        <w:rPr>
          <w:rFonts w:cs="Arial" w:ascii="Arial" w:hAnsi="Arial"/>
          <w:sz w:val="23"/>
          <w:szCs w:val="23"/>
        </w:rPr>
        <w:t>le norme attualmente vigenti impongono il possesso della certificazione verde COVID-19 (“base” che si può ottenere o con la vaccinazione e le relative dosi richieste, o con l’esecuzione del test ogni 48 ore e “rafforzata” ottenibile solo con la vaccinazione o la guarigione) e poiché i t</w:t>
      </w:r>
      <w:r>
        <w:rPr>
          <w:rFonts w:cs="Arial" w:ascii="Arial" w:hAnsi="Arial"/>
          <w:sz w:val="23"/>
          <w:szCs w:val="23"/>
        </w:rPr>
        <w:t>a</w:t>
      </w:r>
      <w:r>
        <w:rPr>
          <w:rFonts w:cs="Arial" w:ascii="Arial" w:hAnsi="Arial"/>
          <w:sz w:val="23"/>
          <w:szCs w:val="23"/>
        </w:rPr>
        <w:t>mponi non garantiscono gli stessi vantaggi della vaccinazione, La prego di emettere al più presto la prescrizione richiesta, giacch</w:t>
      </w:r>
      <w:r>
        <w:rPr>
          <w:rFonts w:cs="Arial" w:ascii="Arial" w:hAnsi="Arial"/>
          <w:sz w:val="23"/>
          <w:szCs w:val="23"/>
          <w:lang w:val="fr-FR"/>
        </w:rPr>
        <w:t xml:space="preserve">é </w:t>
      </w:r>
      <w:r>
        <w:rPr>
          <w:rFonts w:cs="Arial" w:ascii="Arial" w:hAnsi="Arial"/>
          <w:sz w:val="23"/>
          <w:szCs w:val="23"/>
        </w:rPr>
        <w:t>la mia intera esistenza in questo momento sembrerebbe dipendere da essa e l’unico investito del potere di stabilire se io sia o meno a rischio di effetti avversi dovuti ai trattamenti sanitari in oggetto, è Lei.</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cs="Arial"/>
          <w:sz w:val="23"/>
          <w:szCs w:val="23"/>
        </w:rPr>
      </w:pPr>
      <w:r>
        <w:rPr>
          <w:rFonts w:cs="Arial" w:ascii="Arial" w:hAnsi="Arial"/>
          <w:sz w:val="23"/>
          <w:szCs w:val="23"/>
        </w:rPr>
        <w:t xml:space="preserve">Infine, qualora Lei dovesse ritenere comunque opportuno prescrivermi </w:t>
      </w:r>
      <w:r>
        <w:rPr>
          <w:rFonts w:cs="Arial" w:ascii="Arial" w:hAnsi="Arial"/>
          <w:sz w:val="23"/>
          <w:szCs w:val="23"/>
        </w:rPr>
        <w:t>i farmaci</w:t>
      </w:r>
      <w:r>
        <w:rPr>
          <w:rFonts w:cs="Arial" w:ascii="Arial" w:hAnsi="Arial"/>
          <w:sz w:val="23"/>
          <w:szCs w:val="23"/>
        </w:rPr>
        <w:t xml:space="preserve"> sperimentali di cui sopra, Le chiedo di prescrivermi anche le analisi atte a determinare possibili rischi per la mia salute a carico del Sistema Sanitario Nazionale, attraverso il codice di esenzione </w:t>
      </w:r>
      <w:r>
        <w:rPr>
          <w:rFonts w:cs="Arial" w:ascii="Arial" w:hAnsi="Arial"/>
          <w:sz w:val="23"/>
          <w:szCs w:val="23"/>
          <w:lang w:val="ar-SA"/>
        </w:rPr>
        <w:t>“</w:t>
      </w:r>
      <w:r>
        <w:rPr>
          <w:rFonts w:cs="Arial" w:ascii="Arial" w:hAnsi="Arial"/>
          <w:sz w:val="23"/>
          <w:szCs w:val="23"/>
        </w:rPr>
        <w:t>P03”, così come previsto dall’art. 1 comma 4 lett. b del D.Lgs.124/1998</w:t>
      </w:r>
      <w:r>
        <w:rPr>
          <w:rStyle w:val="Richiamoallanotaapidipagina"/>
          <w:rFonts w:eastAsia="Times Roman" w:cs="Arial" w:ascii="Arial" w:hAnsi="Arial"/>
          <w:sz w:val="23"/>
          <w:szCs w:val="23"/>
          <w:vertAlign w:val="superscript"/>
        </w:rPr>
        <w:footnoteReference w:id="4"/>
      </w:r>
      <w:r>
        <w:rPr>
          <w:rFonts w:cs="Arial" w:ascii="Arial" w:hAnsi="Arial"/>
          <w:sz w:val="23"/>
          <w:szCs w:val="23"/>
        </w:rPr>
        <w:t xml:space="preserve"> – prima parte (G.U. n. 99 del 30/04/1998) e DPCM 12/01/2017 (G.U. n. 65 del 18/03/2017).</w:t>
      </w:r>
    </w:p>
    <w:p>
      <w:pPr>
        <w:pStyle w:val="Didefault"/>
        <w:jc w:val="both"/>
        <w:rPr>
          <w:rFonts w:ascii="Arial" w:hAnsi="Arial" w:cs="Arial"/>
          <w:sz w:val="23"/>
          <w:szCs w:val="23"/>
        </w:rPr>
      </w:pPr>
      <w:r>
        <w:rPr>
          <w:rFonts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Confidando nel Suo giudizio etico e professionale, resto in attesa di un Suo gentile riscontro e porgo i miei più distinti saluti,</w:t>
      </w:r>
    </w:p>
    <w:p>
      <w:pPr>
        <w:pStyle w:val="Didefault"/>
        <w:jc w:val="both"/>
        <w:rPr>
          <w:rFonts w:ascii="Arial" w:hAnsi="Arial" w:cs="Arial"/>
          <w:sz w:val="23"/>
          <w:szCs w:val="23"/>
        </w:rPr>
      </w:pPr>
      <w:r>
        <w:rPr>
          <w:rFonts w:cs="Arial" w:ascii="Arial" w:hAnsi="Arial"/>
          <w:sz w:val="23"/>
          <w:szCs w:val="23"/>
        </w:rPr>
      </w:r>
    </w:p>
    <w:p>
      <w:pPr>
        <w:pStyle w:val="Didefault"/>
        <w:jc w:val="both"/>
        <w:rPr>
          <w:rFonts w:ascii="Arial" w:hAnsi="Arial" w:eastAsia="Times Roman" w:cs="Arial"/>
          <w:sz w:val="23"/>
          <w:szCs w:val="23"/>
        </w:rPr>
      </w:pPr>
      <w:r>
        <w:rPr>
          <w:rFonts w:eastAsia="Times Roman" w:cs="Arial" w:ascii="Arial" w:hAnsi="Arial"/>
          <w:sz w:val="23"/>
          <w:szCs w:val="23"/>
        </w:rPr>
        <w:t>Data: ______________</w:t>
        <w:tab/>
        <w:tab/>
        <w:tab/>
        <w:tab/>
        <w:t>Firma: ___________________________</w:t>
      </w:r>
    </w:p>
    <w:p>
      <w:pPr>
        <w:pStyle w:val="Didefault"/>
        <w:jc w:val="both"/>
        <w:rPr>
          <w:rFonts w:ascii="Arial" w:hAnsi="Arial" w:eastAsia="Times Roman" w:cs="Arial"/>
          <w:sz w:val="23"/>
          <w:szCs w:val="23"/>
        </w:rPr>
      </w:pPr>
      <w:r>
        <w:rPr>
          <w:rFonts w:eastAsia="Times Roman" w:cs="Arial" w:ascii="Arial" w:hAnsi="Arial"/>
          <w:sz w:val="23"/>
          <w:szCs w:val="23"/>
        </w:rPr>
      </w:r>
    </w:p>
    <w:p>
      <w:pPr>
        <w:pStyle w:val="Didefault"/>
        <w:jc w:val="both"/>
        <w:rPr>
          <w:rFonts w:ascii="Arial" w:hAnsi="Arial" w:eastAsia="Times Roman" w:cs="Arial"/>
          <w:sz w:val="23"/>
          <w:szCs w:val="23"/>
        </w:rPr>
      </w:pPr>
      <w:r>
        <w:rPr>
          <w:rFonts w:cs="Arial" w:ascii="Arial" w:hAnsi="Arial"/>
          <w:sz w:val="23"/>
          <w:szCs w:val="23"/>
        </w:rPr>
        <w:t xml:space="preserve">Fonti:  </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jc w:val="both"/>
        <w:rPr>
          <w:rFonts w:ascii="Arial" w:hAnsi="Arial"/>
          <w:sz w:val="23"/>
          <w:szCs w:val="23"/>
        </w:rPr>
      </w:pPr>
      <w:r>
        <w:rPr>
          <w:rFonts w:cs="Times Roman;Times New Roman" w:ascii="Arial" w:hAnsi="Arial"/>
          <w:sz w:val="23"/>
          <w:szCs w:val="23"/>
        </w:rPr>
        <w:t xml:space="preserve">DL 44/21, art. 4, comma 1: (…) </w:t>
      </w:r>
      <w:r>
        <w:rPr>
          <w:rFonts w:cs="Times Roman;Times New Roman" w:ascii="Arial" w:hAnsi="Arial"/>
          <w:b w:val="false"/>
          <w:i/>
          <w:iCs/>
          <w:caps w:val="false"/>
          <w:smallCaps w:val="false"/>
          <w:color w:val="19191A"/>
          <w:spacing w:val="0"/>
          <w:sz w:val="23"/>
          <w:szCs w:val="23"/>
        </w:rPr>
        <w:t xml:space="preserve">al fine di tutelare la salute pubblica e mantenere adeguate condizioni di sicurezza nell'erogazione delle prestazioni di cura e assistenza, gli esercenti le professioni sanitarie e gli operatori di interesse sanitario (…) sono obbligati a sottoporsi a </w:t>
      </w:r>
      <w:r>
        <w:rPr>
          <w:rFonts w:cs="Times Roman;Times New Roman" w:ascii="Arial" w:hAnsi="Arial"/>
          <w:b/>
          <w:bCs/>
          <w:i/>
          <w:iCs/>
          <w:caps w:val="false"/>
          <w:smallCaps w:val="false"/>
          <w:color w:val="19191A"/>
          <w:spacing w:val="0"/>
          <w:sz w:val="23"/>
          <w:szCs w:val="23"/>
        </w:rPr>
        <w:t>vaccinazione gratuita per la prevenzione dell'infezione da SARS-CoV-2</w:t>
      </w:r>
      <w:r>
        <w:rPr>
          <w:rFonts w:cs="Times Roman;Times New Roman" w:ascii="Arial" w:hAnsi="Arial"/>
          <w:b w:val="false"/>
          <w:i/>
          <w:iCs/>
          <w:caps w:val="false"/>
          <w:smallCaps w:val="false"/>
          <w:color w:val="19191A"/>
          <w:spacing w:val="0"/>
          <w:sz w:val="23"/>
          <w:szCs w:val="23"/>
        </w:rPr>
        <w:t>.</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jc w:val="both"/>
        <w:rPr>
          <w:rFonts w:ascii="Arial" w:hAnsi="Arial"/>
          <w:sz w:val="23"/>
          <w:szCs w:val="23"/>
        </w:rPr>
      </w:pPr>
      <w:r>
        <w:rPr>
          <w:rFonts w:cs="Times Roman;Times New Roman" w:ascii="Arial" w:hAnsi="Arial"/>
          <w:b w:val="false"/>
          <w:i w:val="false"/>
          <w:caps w:val="false"/>
          <w:smallCaps w:val="false"/>
          <w:color w:val="19191A"/>
          <w:spacing w:val="0"/>
          <w:sz w:val="23"/>
          <w:szCs w:val="23"/>
        </w:rPr>
        <w:t>DL 52/</w:t>
      </w:r>
      <w:r>
        <w:rPr>
          <w:rFonts w:cs="Times Roman;Times New Roman" w:ascii="Arial" w:hAnsi="Arial"/>
          <w:b w:val="false"/>
          <w:i w:val="false"/>
          <w:caps w:val="false"/>
          <w:smallCaps w:val="false"/>
          <w:color w:val="19191A"/>
          <w:spacing w:val="0"/>
          <w:sz w:val="23"/>
          <w:szCs w:val="23"/>
        </w:rPr>
        <w:t>21</w:t>
      </w:r>
      <w:r>
        <w:rPr>
          <w:rFonts w:cs="Times Roman;Times New Roman" w:ascii="Arial" w:hAnsi="Arial"/>
          <w:b w:val="false"/>
          <w:i w:val="false"/>
          <w:caps w:val="false"/>
          <w:smallCaps w:val="false"/>
          <w:color w:val="19191A"/>
          <w:spacing w:val="0"/>
          <w:sz w:val="23"/>
          <w:szCs w:val="23"/>
        </w:rPr>
        <w:t xml:space="preserve">, art. 9, comma 1, lettera a): certificazioni verdi COVID-19: </w:t>
      </w:r>
      <w:r>
        <w:rPr>
          <w:rFonts w:cs="Times Roman;Times New Roman" w:ascii="Arial" w:hAnsi="Arial"/>
          <w:b w:val="false"/>
          <w:i/>
          <w:iCs/>
          <w:caps w:val="false"/>
          <w:smallCaps w:val="false"/>
          <w:color w:val="19191A"/>
          <w:spacing w:val="0"/>
          <w:sz w:val="23"/>
          <w:szCs w:val="23"/>
        </w:rPr>
        <w:t xml:space="preserve">le certificazioni comprovanti lo stato di </w:t>
      </w:r>
      <w:r>
        <w:rPr>
          <w:rFonts w:cs="Times Roman;Times New Roman" w:ascii="Arial" w:hAnsi="Arial"/>
          <w:b/>
          <w:bCs/>
          <w:i/>
          <w:iCs/>
          <w:caps w:val="false"/>
          <w:smallCaps w:val="false"/>
          <w:color w:val="19191A"/>
          <w:spacing w:val="0"/>
          <w:sz w:val="23"/>
          <w:szCs w:val="23"/>
        </w:rPr>
        <w:t xml:space="preserve">avvenuta vaccinazione contro il SARS-CoV-2 </w:t>
      </w:r>
      <w:r>
        <w:rPr>
          <w:rFonts w:cs="Times Roman;Times New Roman" w:ascii="Arial" w:hAnsi="Arial"/>
          <w:b w:val="false"/>
          <w:bCs w:val="false"/>
          <w:i/>
          <w:iCs/>
          <w:caps w:val="false"/>
          <w:smallCaps w:val="false"/>
          <w:color w:val="19191A"/>
          <w:spacing w:val="0"/>
          <w:sz w:val="23"/>
          <w:szCs w:val="23"/>
        </w:rPr>
        <w:t>(...)</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jc w:val="both"/>
        <w:rPr>
          <w:rFonts w:ascii="Arial" w:hAnsi="Arial" w:cs="Times Roman;Times New Roman"/>
          <w:sz w:val="23"/>
          <w:szCs w:val="23"/>
        </w:rPr>
      </w:pPr>
      <w:r>
        <w:rPr>
          <w:rFonts w:cs="Arial" w:ascii="Arial" w:hAnsi="Arial"/>
          <w:sz w:val="23"/>
          <w:szCs w:val="23"/>
        </w:rPr>
        <w:t>Determine AIFA n. 112/2020, n. 154/2020, pubblicata in Gazzetta Ufficiale n. 318 del 23.12.2020, n. 1/2021, 18/2021, n. 49/2021, n. 178/2021, n. DG/699/2021, n. 1067/2021, 1223/2021 del 11 ottobre 2021 (dose addizionale dei medicinali «Comirnaty» e «Spikevax»)</w:t>
      </w:r>
    </w:p>
    <w:p>
      <w:pPr>
        <w:pStyle w:val="Didefault"/>
        <w:numPr>
          <w:ilvl w:val="0"/>
          <w:numId w:val="5"/>
        </w:numPr>
        <w:jc w:val="both"/>
        <w:rPr>
          <w:rFonts w:ascii="Arial" w:hAnsi="Arial"/>
          <w:sz w:val="23"/>
          <w:szCs w:val="23"/>
        </w:rPr>
      </w:pPr>
      <w:r>
        <w:rPr>
          <w:rFonts w:eastAsia="Arial Unicode MS" w:cs="Arial" w:ascii="Arial" w:hAnsi="Arial"/>
          <w:color w:val="000000"/>
          <w:kern w:val="0"/>
          <w:sz w:val="23"/>
          <w:szCs w:val="23"/>
          <w:lang w:val="it-IT" w:eastAsia="it-IT" w:bidi="ar-SA"/>
          <w14:textOutline w14:w="0" w14:cap="flat" w14:cmpd="sng" w14:algn="ctr">
            <w14:noFill/>
            <w14:prstDash w14:val="solid"/>
            <w14:bevel/>
          </w14:textOutline>
        </w:rPr>
        <w:t>Documento ufficiale</w:t>
      </w:r>
      <w:r>
        <w:rPr>
          <w:rFonts w:cs="Arial" w:ascii="Arial" w:hAnsi="Arial"/>
          <w:sz w:val="23"/>
          <w:szCs w:val="23"/>
        </w:rPr>
        <w:t xml:space="preserve"> da EMA (Caratteristiche Comirnaty)</w:t>
      </w:r>
    </w:p>
    <w:p>
      <w:pPr>
        <w:pStyle w:val="Didefault"/>
        <w:numPr>
          <w:ilvl w:val="0"/>
          <w:numId w:val="5"/>
        </w:numPr>
        <w:jc w:val="both"/>
        <w:rPr>
          <w:rFonts w:ascii="Arial" w:hAnsi="Arial"/>
          <w:sz w:val="23"/>
          <w:szCs w:val="23"/>
        </w:rPr>
      </w:pPr>
      <w:r>
        <w:rPr>
          <w:rFonts w:eastAsia="Arial Unicode MS" w:cs="Arial" w:ascii="Arial" w:hAnsi="Arial"/>
          <w:color w:val="000000"/>
          <w:kern w:val="0"/>
          <w:sz w:val="23"/>
          <w:szCs w:val="23"/>
          <w:lang w:val="it-IT" w:eastAsia="it-IT" w:bidi="ar-SA"/>
          <w14:textOutline w14:w="0" w14:cap="flat" w14:cmpd="sng" w14:algn="ctr">
            <w14:noFill/>
            <w14:prstDash w14:val="solid"/>
            <w14:bevel/>
          </w14:textOutline>
        </w:rPr>
        <w:t>Documento ufficiale</w:t>
      </w:r>
      <w:r>
        <w:rPr>
          <w:rFonts w:cs="Arial" w:ascii="Arial" w:hAnsi="Arial"/>
          <w:sz w:val="23"/>
          <w:szCs w:val="23"/>
        </w:rPr>
        <w:t xml:space="preserve"> da EMA (Assessment report per Comirnaty)</w:t>
      </w:r>
    </w:p>
    <w:p>
      <w:pPr>
        <w:pStyle w:val="Didefault"/>
        <w:numPr>
          <w:ilvl w:val="0"/>
          <w:numId w:val="5"/>
        </w:numPr>
        <w:jc w:val="both"/>
        <w:rPr>
          <w:rFonts w:ascii="Arial" w:hAnsi="Arial"/>
          <w:sz w:val="23"/>
          <w:szCs w:val="23"/>
        </w:rPr>
      </w:pPr>
      <w:r>
        <w:rPr>
          <w:rFonts w:cs="Arial" w:ascii="Arial" w:hAnsi="Arial"/>
          <w:sz w:val="23"/>
          <w:szCs w:val="23"/>
          <w:lang w:val="en-US"/>
        </w:rPr>
        <w:t>PF-07302048 (BNT162 RNA-Based COVID-19 Vaccines) - Protocol C4591001</w:t>
      </w:r>
    </w:p>
    <w:p>
      <w:pPr>
        <w:pStyle w:val="Didefault"/>
        <w:numPr>
          <w:ilvl w:val="0"/>
          <w:numId w:val="5"/>
        </w:numPr>
        <w:jc w:val="both"/>
        <w:rPr>
          <w:rFonts w:ascii="Arial" w:hAnsi="Arial"/>
          <w:sz w:val="23"/>
          <w:szCs w:val="23"/>
        </w:rPr>
      </w:pPr>
      <w:r>
        <w:rPr>
          <w:rFonts w:cs="Arial" w:ascii="Arial" w:hAnsi="Arial"/>
          <w:sz w:val="23"/>
          <w:szCs w:val="23"/>
          <w:lang w:val="en-US"/>
        </w:rPr>
        <w:t>Documento ufficiale EMA del 21/09/2021 (Risk Management Plan)</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jc w:val="both"/>
        <w:rPr>
          <w:rFonts w:ascii="Arial" w:hAnsi="Arial"/>
          <w:sz w:val="23"/>
          <w:szCs w:val="23"/>
        </w:rPr>
      </w:pPr>
      <w:r>
        <w:rPr>
          <w:rFonts w:eastAsia="Times Roman" w:cs="Times Roman;Times New Roman" w:ascii="Arial" w:hAnsi="Arial"/>
          <w:sz w:val="23"/>
          <w:szCs w:val="23"/>
        </w:rPr>
        <w:t>EudraVigilance (</w:t>
      </w:r>
      <w:r>
        <w:rPr>
          <w:rFonts w:eastAsia="Times Roman" w:cs="Times Roman;Times New Roman" w:ascii="Arial" w:hAnsi="Arial"/>
          <w:color w:val="0433FF"/>
          <w:sz w:val="23"/>
          <w:szCs w:val="23"/>
        </w:rPr>
        <w:t>www.adrreports.eu</w:t>
      </w:r>
      <w:r>
        <w:rPr>
          <w:rFonts w:eastAsia="Times Roman" w:cs="Times Roman;Times New Roman" w:ascii="Arial" w:hAnsi="Arial"/>
          <w:sz w:val="23"/>
          <w:szCs w:val="23"/>
        </w:rPr>
        <w:t xml:space="preserve">): eventi avversi per Pfizer-Biontech (Tozinameran) Comirnaty, </w:t>
      </w:r>
      <w:r>
        <w:rPr>
          <w:rFonts w:eastAsia="Times Roman" w:cs="Times Roman;Times New Roman" w:ascii="Arial" w:hAnsi="Arial"/>
          <w:color w:val="000000"/>
          <w:sz w:val="23"/>
          <w:szCs w:val="23"/>
        </w:rPr>
        <w:t>Astrazeneca/Vaxzevria</w:t>
      </w:r>
      <w:r>
        <w:rPr>
          <w:rFonts w:eastAsia="Times Roman" w:cs="Times Roman;Times New Roman" w:ascii="Arial" w:hAnsi="Arial"/>
          <w:sz w:val="23"/>
          <w:szCs w:val="23"/>
        </w:rPr>
        <w:t>, Moderna/Spikevax e Janssen</w:t>
      </w:r>
    </w:p>
    <w:p>
      <w:pPr>
        <w:pStyle w:val="Didefault"/>
        <w:numPr>
          <w:ilvl w:val="0"/>
          <w:numId w:val="5"/>
        </w:numPr>
        <w:tabs>
          <w:tab w:val="clear" w:pos="720"/>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jc w:val="both"/>
        <w:rPr>
          <w:rFonts w:ascii="Arial" w:hAnsi="Arial"/>
          <w:sz w:val="23"/>
          <w:szCs w:val="23"/>
        </w:rPr>
      </w:pPr>
      <w:r>
        <w:rPr>
          <w:rFonts w:eastAsia="Times Roman" w:cs="Times Roman;Times New Roman" w:ascii="Arial" w:hAnsi="Arial"/>
          <w:sz w:val="23"/>
          <w:szCs w:val="23"/>
        </w:rPr>
        <w:t xml:space="preserve">codifa.it: </w:t>
      </w:r>
      <w:r>
        <w:rPr>
          <w:rFonts w:eastAsia="Times Roman" w:cs="Times Roman;Times New Roman" w:ascii="Arial" w:hAnsi="Arial"/>
          <w:sz w:val="23"/>
          <w:szCs w:val="23"/>
        </w:rPr>
        <w:t>a</w:t>
      </w:r>
      <w:r>
        <w:rPr>
          <w:rFonts w:eastAsia="Times Roman" w:cs="Times Roman;Times New Roman" w:ascii="Arial" w:hAnsi="Arial"/>
          <w:sz w:val="23"/>
          <w:szCs w:val="23"/>
        </w:rPr>
        <w:t xml:space="preserve">nche la banca dati farmaceutica CODIFA ci conferma che tutti i prodotti "anti-COVID" sono ricompresi nella sotto-categoria di farmaci RRL, ovvero "medicinali </w:t>
      </w:r>
      <w:r>
        <w:rPr>
          <w:rFonts w:eastAsia="Times Roman" w:cs="Times Roman;Times New Roman" w:ascii="Arial" w:hAnsi="Arial"/>
          <w:b/>
          <w:bCs/>
          <w:sz w:val="23"/>
          <w:szCs w:val="23"/>
        </w:rPr>
        <w:t>vendibili al pubblico su prescrizione di centri ospedalieri o di specialisti</w:t>
      </w:r>
      <w:r>
        <w:rPr>
          <w:rFonts w:eastAsia="Times Roman" w:cs="Times Roman;Times New Roman" w:ascii="Arial" w:hAnsi="Arial"/>
          <w:b w:val="false"/>
          <w:bCs w:val="false"/>
          <w:sz w:val="23"/>
          <w:szCs w:val="23"/>
        </w:rPr>
        <w:t>”</w:t>
      </w:r>
      <w:r>
        <w:rPr>
          <w:rFonts w:eastAsia="Times Roman" w:cs="Times Roman;Times New Roman" w:ascii="Arial" w:hAnsi="Arial"/>
          <w:sz w:val="23"/>
          <w:szCs w:val="23"/>
        </w:rPr>
        <w:t>, Secondo l'art. 93 del d.lgs 219/2006.</w:t>
      </w:r>
    </w:p>
    <w:p>
      <w:pPr>
        <w:pStyle w:val="Didefault"/>
        <w:jc w:val="both"/>
        <w:rPr>
          <w:rFonts w:ascii="Arial" w:hAnsi="Arial" w:cs="Arial"/>
          <w:sz w:val="23"/>
          <w:szCs w:val="23"/>
        </w:rPr>
      </w:pPr>
      <w:r>
        <w:rPr/>
      </w:r>
    </w:p>
    <w:sectPr>
      <w:footerReference w:type="default" r:id="rId2"/>
      <w:footnotePr>
        <w:numFmt w:val="decimal"/>
      </w:footnotePr>
      <w:type w:val="nextPage"/>
      <w:pgSz w:w="11906" w:h="16838"/>
      <w:pgMar w:left="1134" w:right="1134" w:gutter="0" w:header="0" w:top="1134" w:footer="85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roman"/>
    <w:pitch w:val="variable"/>
  </w:font>
  <w:font w:name="Helvetica Neue">
    <w:charset w:val="01"/>
    <w:family w:val="roman"/>
    <w:pitch w:val="variable"/>
  </w:font>
  <w:font w:name="Montserrat Bold">
    <w:charset w:val="01"/>
    <w:family w:val="roman"/>
    <w:pitch w:val="variable"/>
  </w:font>
  <w:font w:name="Montserrat Regular">
    <w:charset w:val="01"/>
    <w:family w:val="roman"/>
    <w:pitch w:val="variable"/>
  </w:font>
  <w:font w:name="Arial">
    <w:charset w:val="01"/>
    <w:family w:val="roman"/>
    <w:pitch w:val="variable"/>
  </w:font>
  <w:font w:name="Arial">
    <w:charset w:val="01"/>
    <w:family w:val="swiss"/>
    <w:pitch w:val="default"/>
  </w:font>
  <w:font w:name="Symbol">
    <w:charset w:val="02"/>
    <w:family w:val="auto"/>
    <w:pitch w:val="default"/>
  </w:font>
  <w:font w:name="Courier New">
    <w:charset w:val="01"/>
    <w:family w:val="auto"/>
    <w:pitch w:val="default"/>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130303995"/>
    </w:sdtPr>
    <w:sdtContent>
      <w:p>
        <w:pPr>
          <w:pStyle w:val="Pidipagina"/>
          <w:jc w:val="center"/>
          <w:rPr/>
        </w:pPr>
        <w:r>
          <w:rPr/>
        </w:r>
      </w:p>
      <w:p>
        <w:pPr>
          <w:pStyle w:val="Pidipagina"/>
          <w:jc w:val="center"/>
          <w:rPr>
            <w:rFonts w:ascii="Arial" w:hAnsi="Arial" w:cs="Arial"/>
            <w:sz w:val="20"/>
            <w:szCs w:val="20"/>
          </w:rPr>
        </w:pPr>
        <w:r>
          <w:rPr>
            <w:rFonts w:cs="Arial" w:ascii="Arial" w:hAnsi="Arial"/>
            <w:sz w:val="20"/>
            <w:szCs w:val="20"/>
          </w:rPr>
          <w:fldChar w:fldCharType="begin"/>
        </w:r>
        <w:r>
          <w:rPr>
            <w:sz w:val="20"/>
            <w:szCs w:val="20"/>
            <w:rFonts w:cs="Arial" w:ascii="Arial" w:hAnsi="Arial"/>
          </w:rPr>
          <w:instrText> PAGE </w:instrText>
        </w:r>
        <w:r>
          <w:rPr>
            <w:sz w:val="20"/>
            <w:szCs w:val="20"/>
            <w:rFonts w:cs="Arial" w:ascii="Arial" w:hAnsi="Arial"/>
          </w:rPr>
          <w:fldChar w:fldCharType="separate"/>
        </w:r>
        <w:r>
          <w:rPr>
            <w:sz w:val="20"/>
            <w:szCs w:val="20"/>
            <w:rFonts w:cs="Arial" w:ascii="Arial" w:hAnsi="Arial"/>
          </w:rPr>
          <w:t>3</w:t>
        </w:r>
        <w:r>
          <w:rPr>
            <w:sz w:val="20"/>
            <w:szCs w:val="20"/>
            <w:rFonts w:cs="Arial" w:ascii="Arial" w:hAnsi="Arial"/>
          </w:rPr>
          <w:fldChar w:fldCharType="end"/>
        </w:r>
      </w:p>
    </w:sdtContent>
  </w:sdt>
  <w:p>
    <w:pPr>
      <w:pStyle w:val="Normal"/>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Normal"/>
        <w:rPr>
          <w:rFonts w:ascii="Arial" w:hAnsi="Arial"/>
        </w:rPr>
      </w:pPr>
      <w:r>
        <w:rPr>
          <w:rStyle w:val="Caratterinotaapidipagina"/>
        </w:rPr>
        <w:footnoteRef/>
      </w:r>
      <w:r>
        <w:rPr>
          <w:rFonts w:ascii="Arial" w:hAnsi="Arial"/>
          <w:sz w:val="20"/>
          <w:szCs w:val="20"/>
        </w:rPr>
        <w:t>Le caratteristiche dei vari prodotti, come riportate sulle schede tecniche e dall’A</w:t>
      </w:r>
      <w:r>
        <w:rPr>
          <w:rFonts w:ascii="Arial" w:hAnsi="Arial"/>
          <w:sz w:val="20"/>
          <w:szCs w:val="20"/>
          <w:lang w:val="en-US" w:eastAsia="en-US"/>
        </w:rPr>
        <w:t>IFA</w:t>
      </w:r>
      <w:r>
        <w:rPr>
          <w:rFonts w:ascii="Arial" w:hAnsi="Arial"/>
          <w:sz w:val="20"/>
          <w:szCs w:val="20"/>
        </w:rPr>
        <w:t>:</w:t>
      </w:r>
    </w:p>
    <w:p>
      <w:pPr>
        <w:pStyle w:val="Notaapidipagina"/>
        <w:rPr>
          <w:rFonts w:ascii="Arial" w:hAnsi="Arial"/>
        </w:rPr>
      </w:pPr>
      <w:r>
        <w:rPr>
          <w:rFonts w:eastAsia="Times New Roman" w:ascii="Arial" w:hAnsi="Arial"/>
          <w:sz w:val="20"/>
          <w:szCs w:val="20"/>
        </w:rPr>
        <w:t xml:space="preserve">    </w:t>
      </w:r>
      <w:r>
        <w:rPr>
          <w:rFonts w:ascii="Arial" w:hAnsi="Arial"/>
          <w:sz w:val="20"/>
          <w:szCs w:val="20"/>
        </w:rPr>
        <w:t>•</w:t>
      </w:r>
      <w:r>
        <w:rPr>
          <w:rFonts w:eastAsia="Times New Roman" w:ascii="Arial" w:hAnsi="Arial"/>
          <w:sz w:val="20"/>
          <w:szCs w:val="20"/>
        </w:rPr>
        <w:t xml:space="preserve"> </w:t>
      </w:r>
      <w:r>
        <w:rPr>
          <w:rFonts w:ascii="Arial" w:hAnsi="Arial"/>
          <w:sz w:val="20"/>
          <w:szCs w:val="20"/>
        </w:rPr>
        <w:t xml:space="preserve">Pfizer/Biontech: Comirnaty concentrato per dispersione iniettabile - Vaccino a mRNA </w:t>
      </w:r>
      <w:r>
        <w:rPr>
          <w:rFonts w:ascii="Arial" w:hAnsi="Arial"/>
          <w:b/>
          <w:bCs/>
          <w:sz w:val="20"/>
          <w:szCs w:val="20"/>
        </w:rPr>
        <w:t>anti-COVID-19</w:t>
      </w:r>
      <w:r>
        <w:rPr>
          <w:rFonts w:ascii="Arial" w:hAnsi="Arial"/>
          <w:sz w:val="20"/>
          <w:szCs w:val="20"/>
        </w:rPr>
        <w:t xml:space="preserve"> (modificato a livello dei nucleosidi).</w:t>
      </w:r>
    </w:p>
    <w:p>
      <w:pPr>
        <w:pStyle w:val="Notaapidipagina"/>
        <w:rPr>
          <w:rFonts w:ascii="Arial" w:hAnsi="Arial"/>
        </w:rPr>
      </w:pPr>
      <w:r>
        <w:rPr>
          <w:rFonts w:eastAsia="Times New Roman" w:ascii="Arial" w:hAnsi="Arial"/>
          <w:sz w:val="20"/>
          <w:szCs w:val="20"/>
        </w:rPr>
        <w:t xml:space="preserve">    </w:t>
      </w:r>
      <w:r>
        <w:rPr>
          <w:rFonts w:ascii="Arial" w:hAnsi="Arial"/>
          <w:sz w:val="20"/>
          <w:szCs w:val="20"/>
        </w:rPr>
        <w:t>•</w:t>
      </w:r>
      <w:r>
        <w:rPr>
          <w:rFonts w:eastAsia="Times New Roman" w:ascii="Arial" w:hAnsi="Arial"/>
          <w:sz w:val="20"/>
          <w:szCs w:val="20"/>
        </w:rPr>
        <w:t xml:space="preserve"> </w:t>
      </w:r>
      <w:r>
        <w:rPr>
          <w:rFonts w:ascii="Arial" w:hAnsi="Arial"/>
          <w:sz w:val="20"/>
          <w:szCs w:val="20"/>
        </w:rPr>
        <w:t>M</w:t>
      </w:r>
      <w:r>
        <w:rPr>
          <w:rFonts w:ascii="Arial" w:hAnsi="Arial"/>
          <w:sz w:val="20"/>
          <w:szCs w:val="20"/>
          <w:lang w:val="en-US" w:eastAsia="en-US"/>
        </w:rPr>
        <w:t>oderna: i</w:t>
      </w:r>
      <w:r>
        <w:rPr>
          <w:rFonts w:ascii="Arial" w:hAnsi="Arial"/>
          <w:sz w:val="20"/>
          <w:szCs w:val="20"/>
        </w:rPr>
        <w:t xml:space="preserve">l vaccino Spikevax (ex COVID-19 Moderna mRNA -1273) è un vaccino destinato a </w:t>
      </w:r>
      <w:r>
        <w:rPr>
          <w:rFonts w:ascii="Arial" w:hAnsi="Arial"/>
          <w:b/>
          <w:bCs/>
          <w:sz w:val="20"/>
          <w:szCs w:val="20"/>
        </w:rPr>
        <w:t>prevenire la malattia da coronavirus 2019 (COVID-19)</w:t>
      </w:r>
      <w:r>
        <w:rPr>
          <w:rFonts w:ascii="Arial" w:hAnsi="Arial"/>
          <w:sz w:val="20"/>
          <w:szCs w:val="20"/>
        </w:rPr>
        <w:t>.</w:t>
      </w:r>
    </w:p>
    <w:p>
      <w:pPr>
        <w:pStyle w:val="Notaapidipagina"/>
        <w:rPr>
          <w:rFonts w:ascii="Arial" w:hAnsi="Arial"/>
        </w:rPr>
      </w:pPr>
      <w:r>
        <w:rPr>
          <w:rFonts w:eastAsia="Times New Roman" w:ascii="Arial" w:hAnsi="Arial"/>
          <w:sz w:val="20"/>
          <w:szCs w:val="20"/>
        </w:rPr>
        <w:t xml:space="preserve">    </w:t>
      </w:r>
      <w:r>
        <w:rPr>
          <w:rFonts w:ascii="Arial" w:hAnsi="Arial"/>
          <w:sz w:val="20"/>
          <w:szCs w:val="20"/>
        </w:rPr>
        <w:t>•</w:t>
      </w:r>
      <w:r>
        <w:rPr>
          <w:rFonts w:eastAsia="Times New Roman" w:ascii="Arial" w:hAnsi="Arial"/>
          <w:sz w:val="20"/>
          <w:szCs w:val="20"/>
        </w:rPr>
        <w:t xml:space="preserve"> </w:t>
      </w:r>
      <w:r>
        <w:rPr>
          <w:rFonts w:ascii="Arial" w:hAnsi="Arial"/>
          <w:sz w:val="20"/>
          <w:szCs w:val="20"/>
        </w:rPr>
        <w:t>A</w:t>
      </w:r>
      <w:r>
        <w:rPr>
          <w:rFonts w:ascii="Arial" w:hAnsi="Arial"/>
          <w:sz w:val="20"/>
          <w:szCs w:val="20"/>
          <w:lang w:val="en-US" w:eastAsia="en-US"/>
        </w:rPr>
        <w:t>strazeneca: i</w:t>
      </w:r>
      <w:r>
        <w:rPr>
          <w:rFonts w:ascii="Arial" w:hAnsi="Arial"/>
          <w:sz w:val="20"/>
          <w:szCs w:val="20"/>
        </w:rPr>
        <w:t>l vaccino Vaxzevria è un vaccino destinato a prevenire l</w:t>
      </w:r>
      <w:r>
        <w:rPr>
          <w:rFonts w:ascii="Arial" w:hAnsi="Arial"/>
          <w:b/>
          <w:bCs/>
          <w:sz w:val="20"/>
          <w:szCs w:val="20"/>
        </w:rPr>
        <w:t>a malattia da coronavirus 2019 (COVID-19).</w:t>
      </w:r>
    </w:p>
    <w:p>
      <w:pPr>
        <w:pStyle w:val="Notaapidipagina"/>
        <w:rPr>
          <w:rFonts w:ascii="Arial" w:hAnsi="Arial"/>
        </w:rPr>
      </w:pPr>
      <w:r>
        <w:rPr>
          <w:rFonts w:eastAsia="Times New Roman" w:ascii="Arial" w:hAnsi="Arial"/>
          <w:sz w:val="20"/>
          <w:szCs w:val="20"/>
        </w:rPr>
        <w:t xml:space="preserve">    </w:t>
      </w:r>
      <w:r>
        <w:rPr>
          <w:rFonts w:ascii="Arial" w:hAnsi="Arial"/>
          <w:sz w:val="20"/>
          <w:szCs w:val="20"/>
        </w:rPr>
        <w:t>•</w:t>
      </w:r>
      <w:r>
        <w:rPr>
          <w:rFonts w:eastAsia="Times New Roman" w:ascii="Arial" w:hAnsi="Arial"/>
          <w:sz w:val="20"/>
          <w:szCs w:val="20"/>
        </w:rPr>
        <w:t xml:space="preserve"> </w:t>
      </w:r>
      <w:r>
        <w:rPr>
          <w:rFonts w:ascii="Arial" w:hAnsi="Arial"/>
          <w:sz w:val="20"/>
          <w:szCs w:val="20"/>
        </w:rPr>
        <w:t>J</w:t>
      </w:r>
      <w:r>
        <w:rPr>
          <w:rFonts w:ascii="Arial" w:hAnsi="Arial"/>
          <w:sz w:val="20"/>
          <w:szCs w:val="20"/>
          <w:lang w:val="en-US" w:eastAsia="en-US"/>
        </w:rPr>
        <w:t xml:space="preserve">anssen: </w:t>
      </w:r>
      <w:r>
        <w:rPr>
          <w:rFonts w:ascii="Arial" w:hAnsi="Arial"/>
          <w:sz w:val="20"/>
          <w:szCs w:val="20"/>
        </w:rPr>
        <w:t>COVID-19 Vaccine Janssen sospensione iniettabile - Vaccino anti-COVID-19 (Ad26.COV2-S [ricombinante]).</w:t>
      </w:r>
    </w:p>
  </w:footnote>
  <w:footnote w:id="3">
    <w:p>
      <w:pPr>
        <w:pStyle w:val="Notaapidipagina"/>
        <w:jc w:val="both"/>
        <w:rPr>
          <w:rFonts w:ascii="Arial" w:hAnsi="Arial" w:cs="Arial"/>
          <w:sz w:val="20"/>
          <w:szCs w:val="20"/>
        </w:rPr>
      </w:pPr>
      <w:r>
        <w:rPr>
          <w:rStyle w:val="Caratterinotaapidipagina"/>
        </w:rPr>
        <w:footnoteRef/>
      </w:r>
      <w:r>
        <w:rPr>
          <w:rFonts w:cs="Arial" w:ascii="Arial" w:hAnsi="Arial"/>
          <w:sz w:val="20"/>
          <w:szCs w:val="20"/>
        </w:rPr>
        <w:t xml:space="preserve"> </w:t>
      </w:r>
      <w:r>
        <w:rPr>
          <w:rFonts w:cs="Arial" w:ascii="Arial" w:hAnsi="Arial"/>
          <w:sz w:val="20"/>
          <w:szCs w:val="20"/>
        </w:rPr>
        <w:t xml:space="preserve">La Determina n. 154/2020 (presa come esempio, in quanto le determine di tutti e quattro i </w:t>
      </w:r>
      <w:r>
        <w:rPr>
          <w:rFonts w:eastAsia="Helvetica Neue" w:cs="Arial" w:ascii="Arial" w:hAnsi="Arial"/>
          <w:color w:val="000000"/>
          <w:kern w:val="0"/>
          <w:sz w:val="20"/>
          <w:szCs w:val="20"/>
          <w:lang w:val="it-IT" w:eastAsia="it-IT" w:bidi="ar-SA"/>
          <w14:textOutline w14:w="0" w14:cap="flat" w14:cmpd="sng" w14:algn="ctr">
            <w14:noFill/>
            <w14:prstDash w14:val="solid"/>
            <w14:bevel/>
          </w14:textOutline>
        </w:rPr>
        <w:t>prodotti</w:t>
      </w:r>
      <w:r>
        <w:rPr>
          <w:rFonts w:cs="Arial" w:ascii="Arial" w:hAnsi="Arial"/>
          <w:sz w:val="20"/>
          <w:szCs w:val="20"/>
        </w:rPr>
        <w:t xml:space="preserve"> contengono le stesse informazioni al riguardo) riporta in calce le </w:t>
      </w:r>
      <w:r>
        <w:rPr>
          <w:rFonts w:cs="Arial" w:ascii="Arial" w:hAnsi="Arial"/>
          <w:sz w:val="20"/>
          <w:szCs w:val="20"/>
          <w:lang w:val="ar-SA"/>
        </w:rPr>
        <w:t>“</w:t>
      </w:r>
      <w:r>
        <w:rPr>
          <w:rFonts w:cs="Arial" w:ascii="Arial" w:hAnsi="Arial"/>
          <w:sz w:val="20"/>
          <w:szCs w:val="20"/>
        </w:rPr>
        <w:t xml:space="preserve">Condizioni o limitazioni di fornitura e utilizzo” e specifica espressamente: </w:t>
      </w:r>
      <w:r>
        <w:rPr>
          <w:rFonts w:cs="Arial" w:ascii="Arial" w:hAnsi="Arial"/>
          <w:sz w:val="20"/>
          <w:szCs w:val="20"/>
          <w:lang w:val="ar-SA"/>
        </w:rPr>
        <w:t>“</w:t>
      </w:r>
      <w:r>
        <w:rPr>
          <w:rFonts w:cs="Arial" w:ascii="Arial" w:hAnsi="Arial"/>
          <w:sz w:val="20"/>
          <w:szCs w:val="20"/>
        </w:rPr>
        <w:t xml:space="preserve">Regime di fornitura: medicinale soggetto a </w:t>
      </w:r>
      <w:r>
        <w:rPr>
          <w:rFonts w:cs="Arial" w:ascii="Arial" w:hAnsi="Arial"/>
          <w:b/>
          <w:bCs/>
          <w:sz w:val="20"/>
          <w:szCs w:val="20"/>
        </w:rPr>
        <w:t>prescrizione medica limitativa (RRL)</w:t>
      </w:r>
      <w:r>
        <w:rPr>
          <w:rFonts w:cs="Arial" w:ascii="Arial" w:hAnsi="Arial"/>
          <w:sz w:val="20"/>
          <w:szCs w:val="20"/>
        </w:rPr>
        <w:t xml:space="preserve"> da utilizzare esclusivamente presso le </w:t>
      </w:r>
      <w:r>
        <w:rPr>
          <w:rFonts w:cs="Arial" w:ascii="Arial" w:hAnsi="Arial"/>
          <w:b/>
          <w:bCs/>
          <w:sz w:val="20"/>
          <w:szCs w:val="20"/>
        </w:rPr>
        <w:t>strutture identificate sulla base dei piani vaccinali</w:t>
      </w:r>
      <w:r>
        <w:rPr>
          <w:rFonts w:cs="Arial" w:ascii="Arial" w:hAnsi="Arial"/>
          <w:sz w:val="20"/>
          <w:szCs w:val="20"/>
        </w:rPr>
        <w:t xml:space="preserve"> o di </w:t>
      </w:r>
      <w:r>
        <w:rPr>
          <w:rFonts w:cs="Arial" w:ascii="Arial" w:hAnsi="Arial"/>
          <w:b/>
          <w:bCs/>
          <w:sz w:val="20"/>
          <w:szCs w:val="20"/>
        </w:rPr>
        <w:t>specifiche strategie messe a punto dalle regioni</w:t>
      </w:r>
      <w:r>
        <w:rPr>
          <w:rFonts w:cs="Arial" w:ascii="Arial" w:hAnsi="Arial"/>
          <w:sz w:val="20"/>
          <w:szCs w:val="20"/>
        </w:rPr>
        <w:t>.”</w:t>
      </w:r>
    </w:p>
  </w:footnote>
  <w:footnote w:id="4">
    <w:p>
      <w:pPr>
        <w:pStyle w:val="Notaapidipagina"/>
        <w:jc w:val="both"/>
        <w:rPr>
          <w:rFonts w:ascii="Arial" w:hAnsi="Arial" w:eastAsia="Times Roman" w:cs="Arial"/>
          <w:sz w:val="20"/>
          <w:szCs w:val="20"/>
        </w:rPr>
      </w:pPr>
      <w:r>
        <w:rPr>
          <w:rStyle w:val="Caratterinotaapidipagina"/>
        </w:rPr>
        <w:footnoteRef/>
      </w:r>
      <w:r>
        <w:rPr>
          <w:rFonts w:cs="Arial" w:ascii="Arial" w:hAnsi="Arial"/>
          <w:sz w:val="20"/>
          <w:szCs w:val="20"/>
        </w:rPr>
        <w:t xml:space="preserve"> </w:t>
      </w:r>
      <w:r>
        <w:rPr>
          <w:rFonts w:cs="Arial" w:ascii="Arial" w:hAnsi="Arial"/>
          <w:sz w:val="20"/>
          <w:szCs w:val="20"/>
        </w:rPr>
        <w:t>Al fine di favorire la partecipazione a programmi di prevenzione di provata efficacia, di garantire l'accesso all'assistenza sanitaria di base, nonché' di assicurare il ricorso all'assistenza ospedaliera ogniqualvolta il trattamento in regime di ricovero ordinario risulti appropriato rispetto alle specifiche condizioni di salute, sono escluse dal sistema di partecipazione al costo e, quindi, erogate senza oneri a carico dell'assistito al momento della fruizione:</w:t>
      </w:r>
    </w:p>
    <w:p>
      <w:pPr>
        <w:pStyle w:val="Notaapidipagina"/>
        <w:jc w:val="both"/>
        <w:rPr>
          <w:rFonts w:ascii="Arial" w:hAnsi="Arial" w:cs="Arial"/>
          <w:sz w:val="20"/>
          <w:szCs w:val="20"/>
        </w:rPr>
      </w:pPr>
      <w:r>
        <w:rPr>
          <w:rFonts w:cs="Arial" w:ascii="Arial" w:hAnsi="Arial"/>
          <w:sz w:val="20"/>
          <w:szCs w:val="20"/>
        </w:rPr>
        <w:t xml:space="preserve">[…] b) le prestazioni di diagnostica strumentale e di laboratorio e le altre prestazioni di assistenza specialistica finalizzate alla tutela della salute collettiva </w:t>
      </w:r>
      <w:r>
        <w:rPr>
          <w:rFonts w:cs="Arial" w:ascii="Arial" w:hAnsi="Arial"/>
          <w:b/>
          <w:bCs/>
          <w:sz w:val="20"/>
          <w:szCs w:val="20"/>
        </w:rPr>
        <w:t>obbligatorie per legge o disposte a livello locale in caso di situazioni epidemiche</w:t>
      </w:r>
      <w:r>
        <w:rPr>
          <w:rFonts w:cs="Arial" w:ascii="Arial" w:hAnsi="Arial"/>
          <w:sz w:val="20"/>
          <w:szCs w:val="20"/>
        </w:rPr>
        <w:t>, nonché' quelle finalizzate all’avviamento al lavoro derivanti da obblighi di legge; […]</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20" w:hanging="360"/>
      </w:pPr>
      <w:rPr>
        <w:b w:val="false"/>
        <w:bCs w:val="false"/>
      </w:rPr>
    </w:lvl>
    <w:lvl w:ilvl="1">
      <w:start w:val="1"/>
      <w:numFmt w:val="lowerRoman"/>
      <w:lvlText w:val="(%2)"/>
      <w:lvlJc w:val="left"/>
      <w:pPr>
        <w:tabs>
          <w:tab w:val="num" w:pos="0"/>
        </w:tabs>
        <w:ind w:left="1800" w:hanging="720"/>
      </w:pPr>
      <w:rPr>
        <w:rFonts w:eastAsia="Arial Unicode MS"/>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lowerLetter"/>
      <w:lvlText w:val="%1."/>
      <w:lvlJc w:val="left"/>
      <w:pPr>
        <w:tabs>
          <w:tab w:val="num" w:pos="0"/>
        </w:tabs>
        <w:ind w:left="720" w:hanging="360"/>
      </w:pPr>
      <w:rPr>
        <w:b w:val="false"/>
        <w:bCs w:val="false"/>
      </w:rPr>
    </w:lvl>
    <w:lvl w:ilvl="1">
      <w:start w:val="1"/>
      <w:numFmt w:val="bullet"/>
      <w:lvlText w:val=""/>
      <w:lvlJc w:val="left"/>
      <w:pPr>
        <w:tabs>
          <w:tab w:val="num" w:pos="0"/>
        </w:tabs>
        <w:ind w:left="1800" w:hanging="720"/>
      </w:pPr>
      <w:rPr>
        <w:rFonts w:ascii="Symbol" w:hAnsi="Symbol" w:cs="Symbol"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lvl w:ilvl="0">
      <w:start w:val="1"/>
      <w:numFmt w:val="lowerRoman"/>
      <w:lvlText w:val="%1."/>
      <w:lvlJc w:val="righ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10"/>
  <w:defaultTabStop w:val="720"/>
  <w:autoHyphenation w:val="tru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it-I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Times New Roman" w:hAnsi="Times New Roman" w:eastAsia="Arial Unicode MS" w:cs="Times New Roman"/>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CollegamentoInternet">
    <w:name w:val="Collegamento Internet"/>
    <w:rPr>
      <w:u w:val="single"/>
    </w:rPr>
  </w:style>
  <w:style w:type="character" w:styleId="UnresolvedMention">
    <w:name w:val="Unresolved Mention"/>
    <w:basedOn w:val="DefaultParagraphFont"/>
    <w:uiPriority w:val="99"/>
    <w:semiHidden/>
    <w:unhideWhenUsed/>
    <w:qFormat/>
    <w:rsid w:val="002634fe"/>
    <w:rPr>
      <w:color w:val="605E5C"/>
      <w:shd w:fill="E1DFDD" w:val="clear"/>
    </w:rPr>
  </w:style>
  <w:style w:type="character" w:styleId="IntestazioneCarattere" w:customStyle="1">
    <w:name w:val="Intestazione Carattere"/>
    <w:basedOn w:val="DefaultParagraphFont"/>
    <w:link w:val="Intestazione"/>
    <w:uiPriority w:val="99"/>
    <w:qFormat/>
    <w:rsid w:val="00077070"/>
    <w:rPr>
      <w:sz w:val="24"/>
      <w:szCs w:val="24"/>
      <w:lang w:val="en-US" w:eastAsia="en-US"/>
    </w:rPr>
  </w:style>
  <w:style w:type="character" w:styleId="PidipaginaCarattere" w:customStyle="1">
    <w:name w:val="Piè di pagina Carattere"/>
    <w:basedOn w:val="DefaultParagraphFont"/>
    <w:link w:val="Pidipagina"/>
    <w:uiPriority w:val="99"/>
    <w:qFormat/>
    <w:rsid w:val="00077070"/>
    <w:rPr>
      <w:sz w:val="24"/>
      <w:szCs w:val="24"/>
      <w:lang w:val="en-US" w:eastAsia="en-US"/>
    </w:rPr>
  </w:style>
  <w:style w:type="character" w:styleId="Richiamoallanotaapidipagina">
    <w:name w:val="Richiamo alla nota a piè di pagina"/>
    <w:rPr>
      <w:vertAlign w:val="superscript"/>
    </w:rPr>
  </w:style>
  <w:style w:type="character" w:styleId="Caratterinotaapidipagina">
    <w:name w:val="Caratteri nota a piè di pagina"/>
    <w:qFormat/>
    <w:rPr/>
  </w:style>
  <w:style w:type="character" w:styleId="Richiamoallanotadichiusura">
    <w:name w:val="Richiamo alla nota di chiusura"/>
    <w:rPr>
      <w:vertAlign w:val="superscript"/>
    </w:rPr>
  </w:style>
  <w:style w:type="character" w:styleId="Caratterinotadichiusura">
    <w:name w:val="Caratteri nota di chiusura"/>
    <w:qFormat/>
    <w:rPr/>
  </w:style>
  <w:style w:type="paragraph" w:styleId="Titolo">
    <w:name w:val="Titolo"/>
    <w:basedOn w:val="Normal"/>
    <w:next w:val="Corpodeltesto"/>
    <w:qFormat/>
    <w:pPr>
      <w:keepNext w:val="true"/>
      <w:spacing w:before="240" w:after="120"/>
    </w:pPr>
    <w:rPr>
      <w:rFonts w:ascii="Liberation Sans" w:hAnsi="Liberation Sans" w:eastAsia="Source Han Sans CN" w:cs="Droid Sans Devanagari"/>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Droid Sans Devanagari"/>
    </w:rPr>
  </w:style>
  <w:style w:type="paragraph" w:styleId="Didascalia">
    <w:name w:val="Caption"/>
    <w:basedOn w:val="Normal"/>
    <w:qFormat/>
    <w:pPr>
      <w:suppressLineNumbers/>
      <w:spacing w:before="120" w:after="120"/>
    </w:pPr>
    <w:rPr>
      <w:rFonts w:cs="Droid Sans Devanagari"/>
      <w:i/>
      <w:iCs/>
      <w:sz w:val="24"/>
      <w:szCs w:val="24"/>
    </w:rPr>
  </w:style>
  <w:style w:type="paragraph" w:styleId="Indice">
    <w:name w:val="Indice"/>
    <w:basedOn w:val="Normal"/>
    <w:qFormat/>
    <w:pPr>
      <w:suppressLineNumbers/>
    </w:pPr>
    <w:rPr>
      <w:rFonts w:cs="Droid Sans Devanagari"/>
      <w:lang w:val="zxx" w:eastAsia="zxx" w:bidi="zxx"/>
    </w:rPr>
  </w:style>
  <w:style w:type="paragraph" w:styleId="Didefault" w:customStyle="1">
    <w:name w:val="Di default"/>
    <w:qFormat/>
    <w:pPr>
      <w:widowControl/>
      <w:suppressAutoHyphens w:val="true"/>
      <w:bidi w:val="0"/>
      <w:spacing w:before="0" w:after="0"/>
      <w:jc w:val="left"/>
    </w:pPr>
    <w:rPr>
      <w:rFonts w:ascii="Helvetica Neue" w:hAnsi="Helvetica Neue" w:eastAsia="Arial Unicode MS" w:cs="Arial Unicode MS"/>
      <w:color w:val="000000"/>
      <w:kern w:val="0"/>
      <w:sz w:val="22"/>
      <w:szCs w:val="22"/>
      <w:lang w:val="it-IT" w:eastAsia="it-IT" w:bidi="ar-SA"/>
      <w14:textOutline w14:w="0" w14:cap="flat" w14:cmpd="sng" w14:algn="ctr">
        <w14:noFill/>
        <w14:prstDash w14:val="solid"/>
        <w14:bevel/>
      </w14:textOutline>
    </w:rPr>
  </w:style>
  <w:style w:type="paragraph" w:styleId="Notaapidipagina" w:customStyle="1">
    <w:name w:val="Footnote Text"/>
    <w:pPr>
      <w:widowControl/>
      <w:suppressAutoHyphens w:val="true"/>
      <w:bidi w:val="0"/>
      <w:spacing w:before="0" w:after="0"/>
      <w:jc w:val="left"/>
    </w:pPr>
    <w:rPr>
      <w:rFonts w:ascii="Helvetica Neue" w:hAnsi="Helvetica Neue" w:eastAsia="Helvetica Neue" w:cs="Helvetica Neue"/>
      <w:color w:val="000000"/>
      <w:kern w:val="0"/>
      <w:sz w:val="22"/>
      <w:szCs w:val="22"/>
      <w:lang w:val="it-IT" w:eastAsia="it-IT" w:bidi="ar-SA"/>
      <w14:textOutline w14:w="0" w14:cap="flat" w14:cmpd="sng" w14:algn="ctr">
        <w14:noFill/>
        <w14:prstDash w14:val="solid"/>
        <w14:bevel/>
      </w14:textOutline>
    </w:rPr>
  </w:style>
  <w:style w:type="paragraph" w:styleId="Intestazione2" w:customStyle="1">
    <w:name w:val="Intestazione 2"/>
    <w:next w:val="Corpo"/>
    <w:qFormat/>
    <w:pPr>
      <w:keepNext w:val="true"/>
      <w:widowControl/>
      <w:suppressAutoHyphens w:val="true"/>
      <w:bidi w:val="0"/>
      <w:spacing w:before="0" w:after="120"/>
      <w:jc w:val="left"/>
      <w:outlineLvl w:val="0"/>
    </w:pPr>
    <w:rPr>
      <w:rFonts w:ascii="Montserrat Bold" w:hAnsi="Montserrat Bold" w:eastAsia="Arial Unicode MS" w:cs="Arial Unicode MS"/>
      <w:color w:val="000000"/>
      <w:kern w:val="0"/>
      <w:sz w:val="28"/>
      <w:szCs w:val="28"/>
      <w:lang w:val="it-IT" w:eastAsia="it-IT" w:bidi="ar-SA"/>
      <w14:textOutline w14:w="0" w14:cap="flat" w14:cmpd="sng" w14:algn="ctr">
        <w14:noFill/>
        <w14:prstDash w14:val="solid"/>
        <w14:bevel/>
      </w14:textOutline>
    </w:rPr>
  </w:style>
  <w:style w:type="paragraph" w:styleId="Corpo" w:customStyle="1">
    <w:name w:val="Corpo"/>
    <w:qFormat/>
    <w:pPr>
      <w:widowControl/>
      <w:suppressAutoHyphens w:val="true"/>
      <w:bidi w:val="0"/>
      <w:spacing w:before="0" w:after="120"/>
      <w:jc w:val="left"/>
    </w:pPr>
    <w:rPr>
      <w:rFonts w:ascii="Montserrat Regular" w:hAnsi="Montserrat Regular" w:eastAsia="Arial Unicode MS" w:cs="Arial Unicode MS"/>
      <w:color w:val="000000"/>
      <w:kern w:val="0"/>
      <w:sz w:val="24"/>
      <w:szCs w:val="24"/>
      <w:lang w:val="it-IT" w:eastAsia="it-IT" w:bidi="ar-SA"/>
      <w14:textOutline w14:w="0" w14:cap="flat" w14:cmpd="sng" w14:algn="ctr">
        <w14:noFill/>
        <w14:prstDash w14:val="solid"/>
        <w14:bevel/>
      </w14:textOutline>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unhideWhenUsed/>
    <w:rsid w:val="00077070"/>
    <w:pPr>
      <w:tabs>
        <w:tab w:val="clear" w:pos="720"/>
        <w:tab w:val="center" w:pos="4819" w:leader="none"/>
        <w:tab w:val="right" w:pos="9638" w:leader="none"/>
      </w:tabs>
    </w:pPr>
    <w:rPr/>
  </w:style>
  <w:style w:type="paragraph" w:styleId="Pidipagina">
    <w:name w:val="Footer"/>
    <w:basedOn w:val="Normal"/>
    <w:link w:val="PidipaginaCarattere"/>
    <w:uiPriority w:val="99"/>
    <w:unhideWhenUsed/>
    <w:rsid w:val="00077070"/>
    <w:pPr>
      <w:tabs>
        <w:tab w:val="clear" w:pos="720"/>
        <w:tab w:val="center" w:pos="4819" w:leader="none"/>
        <w:tab w:val="right" w:pos="9638" w:leader="none"/>
      </w:tabs>
    </w:pPr>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Montserrat Bold"/>
        <a:ea typeface="Montserrat Bold"/>
        <a:cs typeface="Montserrat Bold"/>
      </a:majorFont>
      <a:minorFont>
        <a:latin typeface="Montserrat Regular"/>
        <a:ea typeface="Montserrat Regular"/>
        <a:cs typeface="Montserrat Regular"/>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l" defTabSz="457200" rtl="0" fontAlgn="auto" latinLnBrk="0" hangingPunct="0">
          <a:lnSpc>
            <a:spcPct val="100000"/>
          </a:lnSpc>
          <a:spcBef>
            <a:spcPts val="60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Montserrat Regular"/>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60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Montserrat Regular"/>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Application>LibreOffice/7.2.2.2$Linux_X86_64 LibreOffice_project/20$Build-2</Application>
  <AppVersion>15.0000</AppVersion>
  <Pages>3</Pages>
  <Words>1363</Words>
  <Characters>8080</Characters>
  <CharactersWithSpaces>9400</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2021-12-02T16:04:00Z</dcterms:created>
  <dc:creator>Daniela Barbieri</dc:creator>
  <dc:description/>
  <dc:language>en-US</dc:language>
  <cp:lastModifiedBy/>
  <dcterms:modified xsi:type="dcterms:W3CDTF">2021-12-11T05:15:41Z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file>